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C7" w:rsidRPr="00464DE8" w:rsidRDefault="00465AC7" w:rsidP="00465AC7">
      <w:pPr>
        <w:numPr>
          <w:ilvl w:val="0"/>
          <w:numId w:val="3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Šta je to okolinska dozvola?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4DE8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0288" behindDoc="1" locked="0" layoutInCell="1" allowOverlap="0" wp14:anchorId="065D7F0D" wp14:editId="4BDFB917">
            <wp:simplePos x="0" y="0"/>
            <wp:positionH relativeFrom="column">
              <wp:posOffset>2526030</wp:posOffset>
            </wp:positionH>
            <wp:positionV relativeFrom="paragraph">
              <wp:posOffset>631190</wp:posOffset>
            </wp:positionV>
            <wp:extent cx="496570" cy="1598295"/>
            <wp:effectExtent l="0" t="0" r="0" b="1905"/>
            <wp:wrapTight wrapText="bothSides">
              <wp:wrapPolygon edited="0">
                <wp:start x="16573" y="0"/>
                <wp:lineTo x="0" y="3089"/>
                <wp:lineTo x="0" y="5406"/>
                <wp:lineTo x="3315" y="8238"/>
                <wp:lineTo x="4143" y="16477"/>
                <wp:lineTo x="0" y="19309"/>
                <wp:lineTo x="0" y="20081"/>
                <wp:lineTo x="3315" y="21368"/>
                <wp:lineTo x="4143" y="21368"/>
                <wp:lineTo x="8286" y="21368"/>
                <wp:lineTo x="14916" y="20596"/>
                <wp:lineTo x="13258" y="16477"/>
                <wp:lineTo x="16573" y="12872"/>
                <wp:lineTo x="19059" y="11843"/>
                <wp:lineTo x="19059" y="10555"/>
                <wp:lineTo x="16573" y="4119"/>
                <wp:lineTo x="20716" y="1030"/>
                <wp:lineTo x="20716" y="0"/>
                <wp:lineTo x="16573" y="0"/>
              </wp:wrapPolygon>
            </wp:wrapTight>
            <wp:docPr id="5" name="Picture 5" descr="j0078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0787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Prema </w:t>
      </w:r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ab/>
        <w:t>članu 41.</w:t>
      </w:r>
      <w:r w:rsidR="00465AC7" w:rsidRPr="00464DE8">
        <w:rPr>
          <w:rFonts w:ascii="Helvetica" w:hAnsi="Helvetica" w:cs="Helvetica"/>
          <w:sz w:val="20"/>
          <w:szCs w:val="20"/>
          <w:shd w:val="clear" w:color="auto" w:fill="FFFFFF"/>
        </w:rPr>
        <w:t> </w:t>
      </w:r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Zakonu o prostornom planiranju i korištenju zemljišta na nivou Federacije Bosne i Hercegovine (“Službene novine Federacije BiH”,br. </w:t>
      </w:r>
      <w:hyperlink r:id="rId9" w:tgtFrame="_blank" w:history="1">
        <w:r w:rsidR="00465AC7" w:rsidRPr="00464DE8">
          <w:rPr>
            <w:rFonts w:ascii="Arial" w:hAnsi="Arial" w:cs="Arial"/>
            <w:b w:val="0"/>
            <w:bCs w:val="0"/>
            <w:sz w:val="20"/>
            <w:szCs w:val="20"/>
            <w:lang w:val="hr-HR"/>
          </w:rPr>
          <w:t>2/06</w:t>
        </w:r>
      </w:hyperlink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,</w:t>
      </w:r>
      <w:hyperlink r:id="rId10" w:tgtFrame="_blank" w:history="1">
        <w:r w:rsidR="00465AC7" w:rsidRPr="00464DE8">
          <w:rPr>
            <w:rFonts w:ascii="Arial" w:hAnsi="Arial" w:cs="Arial"/>
            <w:b w:val="0"/>
            <w:bCs w:val="0"/>
            <w:sz w:val="20"/>
            <w:szCs w:val="20"/>
            <w:lang w:val="hr-HR"/>
          </w:rPr>
          <w:t>72/07</w:t>
        </w:r>
      </w:hyperlink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, </w:t>
      </w:r>
      <w:hyperlink r:id="rId11" w:tgtFrame="_blank" w:history="1">
        <w:r w:rsidR="00465AC7" w:rsidRPr="00464DE8">
          <w:rPr>
            <w:rFonts w:ascii="Arial" w:hAnsi="Arial" w:cs="Arial"/>
            <w:b w:val="0"/>
            <w:bCs w:val="0"/>
            <w:sz w:val="20"/>
            <w:szCs w:val="20"/>
            <w:lang w:val="hr-HR"/>
          </w:rPr>
          <w:t>32/08</w:t>
        </w:r>
      </w:hyperlink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, </w:t>
      </w:r>
      <w:hyperlink r:id="rId12" w:tgtFrame="_blank" w:history="1">
        <w:r w:rsidR="00465AC7" w:rsidRPr="00464DE8">
          <w:rPr>
            <w:rFonts w:ascii="Arial" w:hAnsi="Arial" w:cs="Arial"/>
            <w:b w:val="0"/>
            <w:bCs w:val="0"/>
            <w:sz w:val="20"/>
            <w:szCs w:val="20"/>
            <w:lang w:val="hr-HR"/>
          </w:rPr>
          <w:t>4/10</w:t>
        </w:r>
      </w:hyperlink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, </w:t>
      </w:r>
      <w:hyperlink r:id="rId13" w:tgtFrame="_blank" w:history="1">
        <w:r w:rsidR="00465AC7" w:rsidRPr="00464DE8">
          <w:rPr>
            <w:rFonts w:ascii="Arial" w:hAnsi="Arial" w:cs="Arial"/>
            <w:b w:val="0"/>
            <w:bCs w:val="0"/>
            <w:sz w:val="20"/>
            <w:szCs w:val="20"/>
            <w:lang w:val="hr-HR"/>
          </w:rPr>
          <w:t>13/10</w:t>
        </w:r>
      </w:hyperlink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 i </w:t>
      </w:r>
      <w:hyperlink r:id="rId14" w:tgtFrame="_blank" w:history="1">
        <w:r w:rsidR="00465AC7" w:rsidRPr="00464DE8">
          <w:rPr>
            <w:rFonts w:ascii="Arial" w:hAnsi="Arial" w:cs="Arial"/>
            <w:b w:val="0"/>
            <w:bCs w:val="0"/>
            <w:sz w:val="20"/>
            <w:szCs w:val="20"/>
            <w:lang w:val="hr-HR"/>
          </w:rPr>
          <w:t>45/10</w:t>
        </w:r>
      </w:hyperlink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 ), u sklopu procedure za izdavanje urbanističke saglasnosti,  investitor za čiji projekat se smatra da ima ili može imati negativan utjecaj na okoliš dužan je prethodno pribaviti okolinsku dozvolu.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Okolinska dozvola ima za cilj visok nivo zaštite okoliša.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Izdavanje okolinske dozvole je regulisano čl. 68.-72. Zakonom o zaštiti okoliša (Sl. novine FBiH 33/03), odnosno, čl. 26.-27. Zakonom  o izmjenama i dopunama zakona o zaštiti okoliša (Sl. novine FBiH 38/09).</w:t>
      </w:r>
    </w:p>
    <w:p w:rsidR="00465AC7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B72141" w:rsidRPr="00464DE8" w:rsidRDefault="00B72141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5AC7" w:rsidP="00465AC7">
      <w:pPr>
        <w:numPr>
          <w:ilvl w:val="0"/>
          <w:numId w:val="3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Koje vrste pogona i postrojenja trebaju okolinsku dozvolu?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4DE8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15CF53F7" wp14:editId="4DD4DD4E">
            <wp:simplePos x="0" y="0"/>
            <wp:positionH relativeFrom="column">
              <wp:posOffset>2067560</wp:posOffset>
            </wp:positionH>
            <wp:positionV relativeFrom="paragraph">
              <wp:posOffset>330200</wp:posOffset>
            </wp:positionV>
            <wp:extent cx="1057910" cy="847725"/>
            <wp:effectExtent l="0" t="0" r="8890" b="9525"/>
            <wp:wrapSquare wrapText="bothSides"/>
            <wp:docPr id="4" name="Picture 4" descr="CG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Pravilnikom o pogonima i postrojenjima za koje je obavezna procjena utjecaja na okoliš i pogonima i postrojenjima koji mogu biti izgrađeni i pušteni u rad samo ako imaju okolinsku dozvolu (“Sl. novine Federacije BiH”, br. 19/04) definisani su</w:t>
      </w:r>
      <w:r w:rsidR="00465AC7" w:rsidRPr="00464DE8">
        <w:rPr>
          <w:sz w:val="20"/>
          <w:szCs w:val="20"/>
          <w:lang w:val="hr-HR"/>
        </w:rPr>
        <w:t xml:space="preserve"> </w:t>
      </w:r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pogoni i postrojenja koji mogu biti izgrađeni i pušteni u rad samo ako imaju okolinsku dozvolu. </w:t>
      </w:r>
      <w:r w:rsidR="00465AC7" w:rsidRPr="00464DE8">
        <w:rPr>
          <w:rFonts w:ascii="Arial" w:hAnsi="Arial" w:cs="Arial"/>
          <w:b w:val="0"/>
          <w:sz w:val="20"/>
          <w:szCs w:val="20"/>
          <w:lang w:val="hr-HR"/>
        </w:rPr>
        <w:t xml:space="preserve">Svi postojeći pogoni i postrojenja bili su u obavezi pribaviti okolinsku dozvolu do 2008. godine prema čl. 72. Zakona o zaštiti okoliša (Sl. novine FBiH 33/03), odnosno do 31.12.2011. godine prema član 27. Zakonom  o izmjenama i dopunama zakona o zaštiti okoliša (Sl. novine FBiH 38/09). </w:t>
      </w:r>
    </w:p>
    <w:p w:rsidR="00465AC7" w:rsidRDefault="00465AC7" w:rsidP="00465AC7">
      <w:pPr>
        <w:pStyle w:val="nab"/>
        <w:numPr>
          <w:ilvl w:val="0"/>
          <w:numId w:val="0"/>
        </w:numPr>
        <w:rPr>
          <w:color w:val="auto"/>
          <w:szCs w:val="20"/>
        </w:rPr>
      </w:pPr>
    </w:p>
    <w:p w:rsidR="00B72141" w:rsidRDefault="00B72141" w:rsidP="00465AC7">
      <w:pPr>
        <w:pStyle w:val="nab"/>
        <w:numPr>
          <w:ilvl w:val="0"/>
          <w:numId w:val="0"/>
        </w:numPr>
        <w:rPr>
          <w:color w:val="auto"/>
          <w:szCs w:val="20"/>
        </w:rPr>
      </w:pPr>
    </w:p>
    <w:p w:rsidR="00B72141" w:rsidRPr="00464DE8" w:rsidRDefault="00B72141" w:rsidP="00465AC7">
      <w:pPr>
        <w:pStyle w:val="nab"/>
        <w:numPr>
          <w:ilvl w:val="0"/>
          <w:numId w:val="0"/>
        </w:numPr>
        <w:rPr>
          <w:color w:val="auto"/>
          <w:szCs w:val="20"/>
        </w:rPr>
      </w:pPr>
    </w:p>
    <w:p w:rsidR="00465AC7" w:rsidRPr="00464DE8" w:rsidRDefault="00465AC7" w:rsidP="00465AC7">
      <w:pPr>
        <w:numPr>
          <w:ilvl w:val="0"/>
          <w:numId w:val="3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Ko priprema zahtjev za izdavanje okolinske dozvole?</w:t>
      </w:r>
    </w:p>
    <w:p w:rsidR="00465AC7" w:rsidRPr="00464DE8" w:rsidRDefault="00465AC7" w:rsidP="00465AC7">
      <w:pPr>
        <w:jc w:val="both"/>
        <w:rPr>
          <w:rFonts w:ascii="Arial" w:hAnsi="Arial" w:cs="Arial"/>
          <w:smallCaps/>
          <w:sz w:val="20"/>
          <w:szCs w:val="20"/>
          <w:lang w:val="hr-HR"/>
        </w:rPr>
      </w:pPr>
    </w:p>
    <w:p w:rsidR="00465AC7" w:rsidRPr="00464DE8" w:rsidRDefault="00B72141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1312" behindDoc="1" locked="0" layoutInCell="1" allowOverlap="1" wp14:anchorId="4EBFC9D4" wp14:editId="2EAEA069">
            <wp:simplePos x="0" y="0"/>
            <wp:positionH relativeFrom="column">
              <wp:posOffset>2216785</wp:posOffset>
            </wp:positionH>
            <wp:positionV relativeFrom="paragraph">
              <wp:posOffset>27940</wp:posOffset>
            </wp:positionV>
            <wp:extent cx="914400" cy="771525"/>
            <wp:effectExtent l="0" t="0" r="0" b="9525"/>
            <wp:wrapSquare wrapText="bothSides"/>
            <wp:docPr id="3" name="Picture 3" descr="CAZFQ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ZFQ99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AC7" w:rsidRPr="00464DE8">
        <w:rPr>
          <w:rFonts w:ascii="Arial" w:hAnsi="Arial" w:cs="Arial"/>
          <w:b w:val="0"/>
          <w:sz w:val="20"/>
          <w:szCs w:val="20"/>
          <w:lang w:val="hr-HR"/>
        </w:rPr>
        <w:t>Zahtjev za izdavanje okolinske dozvole može pripremiti sam podnosilac zahtjeva</w:t>
      </w:r>
      <w:r w:rsidR="004D43EC" w:rsidRPr="00464DE8">
        <w:rPr>
          <w:rFonts w:ascii="Arial" w:hAnsi="Arial" w:cs="Arial"/>
          <w:b w:val="0"/>
          <w:sz w:val="20"/>
          <w:szCs w:val="20"/>
          <w:lang w:val="hr-HR"/>
        </w:rPr>
        <w:t xml:space="preserve"> ili može unajmiti konsultantsku kuću specijaliziranu</w:t>
      </w:r>
      <w:r w:rsidR="00465AC7" w:rsidRPr="00464DE8">
        <w:rPr>
          <w:rFonts w:ascii="Arial" w:hAnsi="Arial" w:cs="Arial"/>
          <w:b w:val="0"/>
          <w:sz w:val="20"/>
          <w:szCs w:val="20"/>
          <w:lang w:val="hr-HR"/>
        </w:rPr>
        <w:t xml:space="preserve"> u oblasti okoliša. Detaljnije informacije se mogu pronaći na linku</w:t>
      </w:r>
      <w:r w:rsidR="00465AC7" w:rsidRPr="00464DE8">
        <w:rPr>
          <w:rFonts w:ascii="Arial" w:hAnsi="Arial" w:cs="Arial"/>
          <w:b w:val="0"/>
          <w:sz w:val="20"/>
          <w:szCs w:val="20"/>
          <w:u w:val="single"/>
          <w:lang w:val="hr-HR"/>
        </w:rPr>
        <w:t xml:space="preserve">: </w:t>
      </w:r>
      <w:hyperlink r:id="rId17" w:history="1">
        <w:r w:rsidR="00465AC7" w:rsidRPr="00464DE8">
          <w:rPr>
            <w:rFonts w:ascii="Arial" w:hAnsi="Arial" w:cs="Arial"/>
            <w:b w:val="0"/>
            <w:sz w:val="20"/>
            <w:szCs w:val="20"/>
            <w:u w:val="single"/>
            <w:lang w:val="hr-HR"/>
          </w:rPr>
          <w:t> </w:t>
        </w:r>
        <w:r w:rsidR="00465AC7" w:rsidRPr="00464DE8">
          <w:rPr>
            <w:rFonts w:ascii="Arial" w:hAnsi="Arial" w:cs="Arial"/>
            <w:b w:val="0"/>
            <w:bCs w:val="0"/>
            <w:sz w:val="20"/>
            <w:szCs w:val="20"/>
            <w:u w:val="single"/>
            <w:lang w:val="hr-HR"/>
          </w:rPr>
          <w:t>Lista nosilaca izrade Studije o procjeni utjecaja na okoliš - 24.10.2017. godine</w:t>
        </w:r>
      </w:hyperlink>
      <w:r w:rsidR="00465AC7" w:rsidRPr="00464DE8">
        <w:rPr>
          <w:rFonts w:ascii="Arial" w:hAnsi="Arial" w:cs="Arial"/>
          <w:b w:val="0"/>
          <w:sz w:val="20"/>
          <w:szCs w:val="20"/>
          <w:lang w:val="hr-HR"/>
        </w:rPr>
        <w:t xml:space="preserve"> ili dobiti u Ministarstvu.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numPr>
          <w:ilvl w:val="0"/>
          <w:numId w:val="3"/>
        </w:numPr>
        <w:jc w:val="both"/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 xml:space="preserve">KAKO SE PRIPREMA ZAHTJEV ZA IZDAVANJE OKOLINSKE DOZVOLE?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Sadržaj Zahtjeva za izdavanje okolinske dozvole je propisan članom 18. Zakona  o izmjenama i dopunama zakona o zaštiti okoliša (Sl. novine FBiH 38/09). Zahtjev za izdavanje okolinske dozvole treba pripremiti na sljedeći način: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Naslovna strana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Naslov: "Zahtjev za izdavanje okolinske dozvole za pogon i postrojenje (navesti puni naziv postrojenja i pogona)."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"Ime i adresa operatora postrojenja".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"Ime i adresa obrađivača zahtjeva".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1.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 </w:t>
      </w:r>
      <w:r w:rsidRPr="00464DE8">
        <w:rPr>
          <w:rFonts w:ascii="Arial" w:hAnsi="Arial" w:cs="Arial"/>
          <w:sz w:val="20"/>
          <w:szCs w:val="20"/>
          <w:lang w:val="hr-HR"/>
        </w:rPr>
        <w:t>Lokacija pogona i postrojenja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U opisu lokacije treba navesti one pokazatelje koji su bitni sa aspekta utjecaja pogona i postrojenja na okoliš, a to su najmanje: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tačna lokacija (ime naselja, općine), vlasništvo nad parcelom, ukupna površina sa mapom.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namjena lokacije iz regulacionog plana,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okruženost lokacije naseljem,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opremljenost lokacije komunalnom infrastrukturom (vodosnabdijevanje, kanalizacija, oprema za odlaganje otpada i servis prikupljanja otpada)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flora i fauna na mikrolokaciji,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vodne pojave na užem području na i oko lokacije.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2.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 </w:t>
      </w:r>
      <w:r w:rsidRPr="00464DE8">
        <w:rPr>
          <w:rFonts w:ascii="Arial" w:hAnsi="Arial" w:cs="Arial"/>
          <w:sz w:val="20"/>
          <w:szCs w:val="20"/>
          <w:lang w:val="hr-HR"/>
        </w:rPr>
        <w:t>Opis pogona i postrojenja i aktivnosti (plan, tehnički opis rada, itd)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Okolinska dozvola izdaje se samo za one pogone i postrojenja koji su navedeni u zahtjevu. U ovom poglavlju potrebno je dati jasan pregled pogona i postrojenja (sa oznakom i nazivom proizvođača)  na koje se zahtjev za izdavanje okolinske dozvole odnosi i njihov opis rada sa kapacitetima. Pri tome,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pod pogonima se podrazumijevaju kako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proizvodni pogon, tako i ostali prateći objekti, uključujući npr. kotlovnicu, deponiju, skladište za lož ulje itd. Priložiti mapu rasporeda pogona.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pod postrojenjima se podrazumijevaju sve mašine i uređaji koji se nalaze u proizvodnom pogonu a koji su neophodni u procesu proizvodnje.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tabs>
          <w:tab w:val="num" w:pos="426"/>
        </w:tabs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Također u ovom poglavlju neophodno je dati 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detaljan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 opis tehnološkog procesa sa blok shemom procesa proizvodnje u svakom pogonu za koji se traži dozvola.</w:t>
      </w:r>
    </w:p>
    <w:p w:rsidR="00465AC7" w:rsidRPr="00464DE8" w:rsidRDefault="00465AC7" w:rsidP="00465AC7">
      <w:pPr>
        <w:tabs>
          <w:tab w:val="num" w:pos="426"/>
        </w:tabs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Uz zahtjev priložiti idejni projekat i tehnološki projekat.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3. Opis osnovnih i pomoćnih sirovina, ostalih supstanci i energije koja se koristi ili koju proizvodi pogon i postrojenje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U ovom poglavlju je potrebno navesti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osnovne i pomoćne sirovine koje će se koristiti u procesu proizvodnje (npr. cement, aditivi, specificirati hemikalije, itd.). Po mogućnosti kvantificirati.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prirodne resurse koji će se koristiti uključujući vodu i vrste energenta, specificirajući način vodosnabdjevanja i skladištenja energenta (npr. lož ulja). Po mogućnosti kvantificirati.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ostale resurse, uključujući rashladni medij koji će se koristiti, sredstva koja će se koristiti u operacijama pranja i čišćenja, i sl.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 xml:space="preserve">Poglavlje 4. Opis izvora i emisija iz pogona i postrojenja, prirode i količine predviđenih emisija iz pogona i postrojenja u okoliš (zrak, voda, tlo), kao i identifikacija značajnih uticaja na okoliš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lastRenderedPageBreak/>
        <w:t>Na  tehnološkoj shemi i grafičkom prikazu pogona i postrojenja potrebno je</w:t>
      </w:r>
      <w:r w:rsidRPr="00464DE8">
        <w:rPr>
          <w:rFonts w:ascii="Arial" w:hAnsi="Arial" w:cs="Arial"/>
          <w:b w:val="0"/>
          <w:sz w:val="20"/>
          <w:szCs w:val="20"/>
          <w:u w:val="single"/>
          <w:lang w:val="hr-HR"/>
        </w:rPr>
        <w:t xml:space="preserve"> označiti emisiona mjesta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 i to: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emisije u zrak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emisije u vodu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emisije u zemljište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otpad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buka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zračenje, itd.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Za svako, na shemi naznačeno, emisiono mjesto potrebno je dati opis prirode i količine očekivanih emisija. Pored toga, potrebno je specificirati prirodu i količinu otpada koji će se generirati na lokaciji. Za sve emisije treba procijeniti mogući utjecaj na okoliš. Kasnije, u poglavlju 5. treba dati pregled mjera kojima će se spriječiti ili minimizirani taj utjecaj, a u poglavlju 7. mjere planirane za monitoring.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5. Opis predloženih mjera, tehnologija i drugih tehnika za sprečavanje ili ukoliko to nije moguće, smanjenje emisija iz postrojenja, te mjera za sprečavanje produkcije i za povrat korisnog materijala iz otpada koji producira postrojenje.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Ove mjere trebaju biti grupirane analogno načinu na koji su grupirane emisije i njihovi utjecaji, npr: 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Mjere sprječavanje emisija u zrak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Mjere za sprječavanje i minimiziranje otpada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Mjere za sprječavanje i minimiziranje otpadne vode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Mjere za sprječavanje buke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Mjere zaštite stanovništva u naseljima i/ili mjere zaštite poljoprivrednog zemljišta, i sl.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Pri tome izbjegavati uopćene formulacije (npr. treba spriječiti curenje, odlagati otpad na za to predviđeno mjesto,  i sl.) već tačno opisati kako će se provoditi predložena mjera dajući odgovore na pitanja «Ko?» «Gdje?» i «Kako?».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6. Opis ostalih mjera radi usklađivanja sa osnovnim obavezama operatora posebno mjera nakon zatvaranja postrojenja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Dati opis mogućeg negativnog utjecaja na okoliš u slučaju zatvaranja postrojenja, kao i opis mjera za njegovo sprječavanje.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7. Opis mjera planiranih za monitoring emisija unutar područja i/ili njihov uticaj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Plan monitoringa treba sadržavati informaciju o mjestima na kojima se vrši monitoring (emisiona mjesta iz mape emisija Poglavlje 4), zatim parametrima koja će se ispitivati, graničnim vrijednostima emisija i učestalosti ispitivanja (jednom godišnje, jednom u pola godine, kvartalno i sl.). Obaveza Investitora je da izvještaj o mjerenju emisija dostavlja Federalnom ministarstvu.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8. Predviđena alternativna rješenja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Podnosilac zahtjeva može ponuditi alternativu nekim od predloženih rješenja u pogledu lokacije, tehnologije, sirovina za koju smatra da također zadovoljava tražene okolišne kriterije, ili dati procjenu za potpuno drugačije alternativno rješenje.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9. Kopije zahtjeva za dobijanje drugih dozvola koje će biti izdate zajedno sa okolinskom dozvolom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U okviru zahtjeva treba priložiti kopije ostalih dobivenih dozvola i/ili zahtjeve za dobivanje drugih dozvola, a obavezno izvod iz prostorno planske dokumentacije.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10.</w:t>
      </w:r>
      <w:r w:rsidR="006B3DA9">
        <w:rPr>
          <w:rFonts w:ascii="Arial" w:hAnsi="Arial" w:cs="Arial"/>
          <w:sz w:val="20"/>
          <w:szCs w:val="20"/>
          <w:lang w:val="hr-HR"/>
        </w:rPr>
        <w:t xml:space="preserve"> Netehnički rezime</w:t>
      </w:r>
      <w:r w:rsidRPr="00464DE8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Netehnički rezime predstavlja sažeti prikaz podnesenog zahtjeva izrečen netehničkim jezikom. U njemu se najmanje mora navesti za koji pogon i postrojenje se traži dozvola, koje se emisije mogu očekivati, na kojim mjestima i koja je priroda emisija, koje mjere prevencije i minimizacije će se primijeniti, te koje su mjere predviđene za monitoring emisija, kao i mjere po zatvaranju pogona. </w:t>
      </w:r>
      <w:r w:rsidR="006B3DA9">
        <w:rPr>
          <w:rFonts w:ascii="Arial" w:hAnsi="Arial" w:cs="Arial"/>
          <w:b w:val="0"/>
          <w:sz w:val="20"/>
          <w:szCs w:val="20"/>
          <w:lang w:val="hr-HR"/>
        </w:rPr>
        <w:t>Takođe se navode a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lternative</w:t>
      </w:r>
      <w:r w:rsidR="006B3DA9">
        <w:rPr>
          <w:rFonts w:ascii="Arial" w:hAnsi="Arial" w:cs="Arial"/>
          <w:b w:val="0"/>
          <w:sz w:val="20"/>
          <w:szCs w:val="20"/>
          <w:lang w:val="hr-HR"/>
        </w:rPr>
        <w:t>,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 ukoliko ih operator ima.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11.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 Obavezni dio zahtjeva za izdavanje okolinske dozvole je i Plan upravljanja otpadom izrađen 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u skl</w:t>
      </w:r>
      <w:r w:rsidR="004D43EC" w:rsidRPr="00464DE8">
        <w:rPr>
          <w:rFonts w:ascii="Arial" w:hAnsi="Arial" w:cs="Arial"/>
          <w:b w:val="0"/>
          <w:sz w:val="20"/>
          <w:szCs w:val="20"/>
          <w:lang w:val="hr-HR"/>
        </w:rPr>
        <w:t>a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du sa čl. 19. i 20. Zakona o upravljanju otpadom (“Službene novine FBiH“, broj: 33/03,  72/09 i 97/17).</w:t>
      </w:r>
    </w:p>
    <w:p w:rsidR="00465AC7" w:rsidRPr="00464DE8" w:rsidRDefault="00465AC7" w:rsidP="00465AC7">
      <w:pPr>
        <w:tabs>
          <w:tab w:val="num" w:pos="426"/>
        </w:tabs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5C77B9" w:rsidRPr="00464DE8" w:rsidRDefault="005C77B9" w:rsidP="005C77B9">
      <w:pPr>
        <w:ind w:right="133"/>
        <w:jc w:val="both"/>
        <w:rPr>
          <w:rFonts w:ascii="Arial" w:hAnsi="Arial" w:cs="Arial"/>
          <w:smallCaps/>
          <w:strike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5. kako se pokreće procedura prethodne procjene uticaja na okoliš i izdavanje okolinske dozvole za neigrađena postrojenja?</w:t>
      </w:r>
    </w:p>
    <w:p w:rsidR="005C77B9" w:rsidRPr="00464DE8" w:rsidRDefault="005C77B9" w:rsidP="005C77B9">
      <w:pPr>
        <w:ind w:right="133"/>
        <w:jc w:val="both"/>
        <w:rPr>
          <w:rFonts w:ascii="Arial" w:hAnsi="Arial" w:cs="Arial"/>
          <w:smallCaps/>
          <w:sz w:val="20"/>
          <w:szCs w:val="20"/>
          <w:lang w:val="hr-HR"/>
        </w:rPr>
      </w:pPr>
    </w:p>
    <w:p w:rsidR="005C77B9" w:rsidRPr="00464DE8" w:rsidRDefault="005C77B9" w:rsidP="005C77B9">
      <w:pPr>
        <w:ind w:right="133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Zahtjev se podnesi u skladu sa čl. 18. (54a) Zakona  o izmjenama i dopunama zakona o zaštiti okoliša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(Sl. novine FBiH 38/09)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, na način opisan u tački 4. ovog informativnog letka, isti se uzima u razmatranje i pokreće se procedura prethodne procjene uticaja na okoliš.U skladu sa članom 22.  Zakona  o izmjenama i dopunama zakona o zaštiti okoliša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(Sl. novine FBiH 38/09) 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za pogone i postrojenja za koja je potrebna prethodna procjena uticaja na okoliš nadležno ministarstvo dostavlja zahtjev za izdavanje okolinske dozvole, zajedno sa prilozima, nadležnim organima i zainteresiranim subjektima radi davanja mišljenja i sugestija. Rok za dostavljenje primjedbi je 15 dana od dana prijema zahtjeva. Na osnovu čl. 17. stav 4, alineja 2 i čl. 21. Zakona o izmjenama i dopunama zakona o zaštiti okoliša (Sl. novine FBiH br. 38/09), ukoliko se na osnovu zahtjeva za izdavanje okolinske dozvole i priloženih dokaza utvrdi da nije potrebna izrada studije o procjeni uticaja na okoliš nadležno ministarstvo donosi rješenje o izdavanju okolinske dozvole na osnovu prethodne procjene uticaja na okoliš.</w:t>
      </w:r>
    </w:p>
    <w:p w:rsidR="005C77B9" w:rsidRPr="00464DE8" w:rsidRDefault="005C77B9" w:rsidP="00465AC7">
      <w:pPr>
        <w:tabs>
          <w:tab w:val="num" w:pos="426"/>
        </w:tabs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5C77B9">
      <w:pPr>
        <w:pStyle w:val="ListParagraph"/>
        <w:numPr>
          <w:ilvl w:val="0"/>
          <w:numId w:val="6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Kako se podnosi Zahtjev za izdavanje okolinske dozvole za pogone i postrojenja za koja je obavezna izrada Studije o procjeni uticaja na okoliš?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Za pogone i postrojenja za koje je obavezna izrada </w:t>
      </w:r>
      <w:r w:rsidR="006B3DA9">
        <w:rPr>
          <w:rFonts w:ascii="Arial" w:hAnsi="Arial" w:cs="Arial"/>
          <w:b w:val="0"/>
          <w:sz w:val="20"/>
          <w:szCs w:val="20"/>
          <w:lang w:val="hr-HR"/>
        </w:rPr>
        <w:t>S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tudije o procjeni uticaja na okoliš, uz zahtjev za izdavanje okolinske dozvole, umjesto podataka iz stava 1</w:t>
      </w:r>
      <w:r w:rsidRPr="00A06644">
        <w:rPr>
          <w:rFonts w:ascii="Arial" w:hAnsi="Arial" w:cs="Arial"/>
          <w:b w:val="0"/>
          <w:sz w:val="20"/>
          <w:szCs w:val="20"/>
          <w:lang w:val="hr-HR"/>
        </w:rPr>
        <w:t xml:space="preserve">. </w:t>
      </w:r>
      <w:r w:rsidR="00360D04" w:rsidRPr="00A06644">
        <w:rPr>
          <w:rFonts w:ascii="Arial" w:hAnsi="Arial" w:cs="Arial"/>
          <w:b w:val="0"/>
          <w:sz w:val="20"/>
          <w:szCs w:val="20"/>
          <w:lang w:val="hr-HR"/>
        </w:rPr>
        <w:t>čl.</w:t>
      </w:r>
      <w:r w:rsidR="00274135" w:rsidRPr="00A06644">
        <w:rPr>
          <w:rFonts w:ascii="Arial" w:hAnsi="Arial" w:cs="Arial"/>
          <w:b w:val="0"/>
          <w:sz w:val="20"/>
          <w:szCs w:val="20"/>
          <w:lang w:val="hr-HR"/>
        </w:rPr>
        <w:t xml:space="preserve"> 18 (54a) Zakona  o izmjenama i dopunama zakona o zaštiti okoliša</w:t>
      </w:r>
      <w:r w:rsidR="00274135"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(Sl. novine FBiH 38/09)</w:t>
      </w:r>
      <w:r w:rsidR="00360D04" w:rsidRPr="00A06644">
        <w:rPr>
          <w:rFonts w:ascii="Arial" w:hAnsi="Arial" w:cs="Arial"/>
          <w:b w:val="0"/>
          <w:sz w:val="20"/>
          <w:szCs w:val="20"/>
          <w:lang w:val="hr-HR"/>
        </w:rPr>
        <w:t>, izrađuje se</w:t>
      </w:r>
      <w:r w:rsidR="00360D04" w:rsidRPr="00464DE8">
        <w:rPr>
          <w:rFonts w:ascii="Arial" w:hAnsi="Arial" w:cs="Arial"/>
          <w:b w:val="0"/>
          <w:sz w:val="20"/>
          <w:szCs w:val="20"/>
          <w:lang w:val="hr-HR"/>
        </w:rPr>
        <w:t xml:space="preserve"> S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tudija o uticaju na okoliš. 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Čl. 3. i 4. Pravilnika o pogonima i postrojenjima za koje je obavezna procjena utjecaja na okoliš i pogonima i postrojenjima koji mogu 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lastRenderedPageBreak/>
        <w:t>biti izgrađeni i pušteni u rad samo ako imaju okolinsku dozvolu (“Sl. novine Federacije BiH”, br. 19/04) definisani su</w:t>
      </w:r>
      <w:r w:rsidRPr="00464DE8">
        <w:rPr>
          <w:sz w:val="20"/>
          <w:szCs w:val="20"/>
          <w:lang w:val="hr-HR"/>
        </w:rPr>
        <w:t xml:space="preserve"> 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pogoni i postrojenja za koja je neophodna izrada Studije o procjeni uticaja na okoliš.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Ukoliko investitor podnese zahtjev kako je opisano u tački 4. ovog informativnog letka, Ministarstvo će donijeti Zaključak o izradi studije.</w:t>
      </w:r>
    </w:p>
    <w:p w:rsidR="00274135" w:rsidRPr="00A06644" w:rsidRDefault="00274135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A06644">
        <w:rPr>
          <w:rFonts w:ascii="Arial" w:hAnsi="Arial" w:cs="Arial"/>
          <w:b w:val="0"/>
          <w:sz w:val="20"/>
          <w:szCs w:val="20"/>
          <w:lang w:val="hr-HR"/>
        </w:rPr>
        <w:t>U skladu sa čl. 56. Zakona o zaštiti okoliša (“Službene novine FBiH“, broj: 33/03), Studija o procjeni uticaja na okoliš izrađuje se i u slučajevima:</w:t>
      </w:r>
    </w:p>
    <w:p w:rsidR="00274135" w:rsidRPr="00A06644" w:rsidRDefault="00274135" w:rsidP="00274135">
      <w:pPr>
        <w:pStyle w:val="ListParagraph"/>
        <w:numPr>
          <w:ilvl w:val="0"/>
          <w:numId w:val="7"/>
        </w:numPr>
        <w:ind w:left="142" w:hanging="142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A06644">
        <w:rPr>
          <w:rFonts w:ascii="Arial" w:hAnsi="Arial" w:cs="Arial"/>
          <w:b w:val="0"/>
          <w:sz w:val="20"/>
          <w:szCs w:val="20"/>
          <w:lang w:val="hr-HR"/>
        </w:rPr>
        <w:t xml:space="preserve"> kada je rast upotrebe energije, korištenja vode, korištenja prostora, emisija ili proizvodnje otpada veći od 25% (ili rast veći od 25% u poslednjih 10 godina), te za prekid rada i rušenje pogona i postrojenja.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Investitor je dužan studiju o procjeni uticaja na okoliš dostaviti na ocjenu nadležnom ministarstvu u roku od šest mjeseci od dana donošenja Zaključka o izradi studije. Studiju o procjeni uticaja na okoliš obavezno izrađuje konsultantska kuća specijalizirana u oblasti okoliša i ovlaštena od strane Ministarstva. Detaljnije informacije se mogu pronaći na linku</w:t>
      </w:r>
      <w:r w:rsidRPr="00464DE8">
        <w:rPr>
          <w:rFonts w:ascii="Arial" w:hAnsi="Arial" w:cs="Arial"/>
          <w:b w:val="0"/>
          <w:sz w:val="20"/>
          <w:szCs w:val="20"/>
          <w:u w:val="single"/>
          <w:lang w:val="hr-HR"/>
        </w:rPr>
        <w:t xml:space="preserve">: </w:t>
      </w:r>
      <w:hyperlink r:id="rId18" w:history="1">
        <w:r w:rsidRPr="00464DE8">
          <w:rPr>
            <w:rFonts w:ascii="Arial" w:hAnsi="Arial" w:cs="Arial"/>
            <w:b w:val="0"/>
            <w:sz w:val="20"/>
            <w:szCs w:val="20"/>
            <w:u w:val="single"/>
            <w:lang w:val="hr-HR"/>
          </w:rPr>
          <w:t> </w:t>
        </w:r>
        <w:r w:rsidRPr="00464DE8">
          <w:rPr>
            <w:rFonts w:ascii="Arial" w:hAnsi="Arial" w:cs="Arial"/>
            <w:b w:val="0"/>
            <w:bCs w:val="0"/>
            <w:sz w:val="20"/>
            <w:szCs w:val="20"/>
            <w:u w:val="single"/>
            <w:lang w:val="hr-HR"/>
          </w:rPr>
          <w:t>Lista nosilaca izrade Studije o procjeni utjecaja na okoliš - 24.10.2017. godine</w:t>
        </w:r>
      </w:hyperlink>
      <w:r w:rsidRPr="00464DE8">
        <w:rPr>
          <w:rFonts w:ascii="Arial" w:hAnsi="Arial" w:cs="Arial"/>
          <w:b w:val="0"/>
          <w:sz w:val="20"/>
          <w:szCs w:val="20"/>
          <w:u w:val="single"/>
          <w:lang w:val="hr-HR"/>
        </w:rPr>
        <w:t>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u w:val="single"/>
          <w:lang w:val="hr-HR"/>
        </w:rPr>
      </w:pPr>
    </w:p>
    <w:p w:rsidR="00465AC7" w:rsidRPr="00464DE8" w:rsidRDefault="00465AC7" w:rsidP="005C77B9">
      <w:pPr>
        <w:numPr>
          <w:ilvl w:val="0"/>
          <w:numId w:val="6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Čime je propisan sadržaj Studije o procjeni uticaja na okoliš?</w:t>
      </w: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U poglavlju III</w:t>
      </w:r>
      <w:r w:rsidRPr="00464DE8">
        <w:rPr>
          <w:rFonts w:ascii="Arial" w:hAnsi="Arial" w:cs="Arial"/>
          <w:sz w:val="20"/>
          <w:szCs w:val="20"/>
          <w:lang w:val="hr-HR"/>
        </w:rPr>
        <w:t xml:space="preserve"> 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Pravilnika o pogonima i postrojenjima za koje je obavezna procjena utjecaja na okoliš i pogonima i postrojenjima koji mogu biti izgrađeni i pušteni u rad samo ako imaju okolinsku dozvolu (“Sl. novine Federacije BiH”, br. 19/04) propisan je obavezni sadržaj Studije o procjeni uticaja na okoliš.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5C77B9">
      <w:pPr>
        <w:pStyle w:val="ListParagraph"/>
        <w:numPr>
          <w:ilvl w:val="0"/>
          <w:numId w:val="6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Da li se može zahtijevati izrada studije o procjeni uticaja na okoliš i za druge pogone i postrojenja?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Za pogone i postrojenje nabrojane u čl. 5 i 6. Pravilnika o pogonima i postrojenjima za koje je obavezna procjena utjecaja na okoliš i pogonima i postrojenjima koji mogu biti izgrađeni i pušteni u rad samo ako imaju okolinsku 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dozvolu (“Sl. novine Federacije BiH”, br. 19/04) na temelju poglavlja IV </w:t>
      </w:r>
      <w:r w:rsidRPr="00464DE8">
        <w:rPr>
          <w:rFonts w:ascii="Arial" w:hAnsi="Arial" w:cs="Arial"/>
          <w:bCs w:val="0"/>
          <w:sz w:val="20"/>
          <w:szCs w:val="20"/>
          <w:lang w:val="hr-HR"/>
        </w:rPr>
        <w:t>kriteriji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za utvrđivanje potrebe za provođenjem procjene utjecaja na okoliš, može se zahtijevati izrada Studije o procjeni uticaja na okoliš.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5AC7" w:rsidP="005C77B9">
      <w:pPr>
        <w:numPr>
          <w:ilvl w:val="0"/>
          <w:numId w:val="6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Kako se provodi procedura ocjene Studije o procjeni uticaja na okoliš?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Procedura procjene uticaja na okoliš je regulisana od čl. 53. – 65. Zakona o zaštiti okoliša (Sl. novine FBiH 33/03), odnosno, čl. 17.-26. Zakonom  o izmjenama i dopunama zakona o zaštiti okoliša (Sl. novine FBiH 38/09).</w:t>
      </w:r>
      <w:r w:rsidR="00360D04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Čl. 61. i 62. Zakona o zaštiti okoliša (Sl. novine FBiH 33/03) propisana je procedura organizovanja javne rasprave.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5AC7" w:rsidP="005C77B9">
      <w:pPr>
        <w:numPr>
          <w:ilvl w:val="0"/>
          <w:numId w:val="6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Kako se pri izradi studije utvrđuje vjerovatnoća prekograničnog uticaja na okoliš?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B72141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2336" behindDoc="1" locked="0" layoutInCell="1" allowOverlap="1" wp14:anchorId="24462870" wp14:editId="328A0AD5">
            <wp:simplePos x="0" y="0"/>
            <wp:positionH relativeFrom="column">
              <wp:align>right</wp:align>
            </wp:positionH>
            <wp:positionV relativeFrom="paragraph">
              <wp:posOffset>12700</wp:posOffset>
            </wp:positionV>
            <wp:extent cx="1522095" cy="1133475"/>
            <wp:effectExtent l="0" t="0" r="190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Članom 63. Zakona o zaštiti okoliša (Sl. novine FBiH 33/03) regulisana su pravila i procedure koja se odnose na procjenu prekograničnih uticaja. Ova pravila primjenjuju se kada postoji vjerovatnoća da će projekat imati značajan uticaj na okoliš drugog entiteta i kada postoji obaveza po međunarodnim ugovorima, bilateralnim sporazumima ili iz drugih razloga. Kada izrađivač izrade Studije o uticaju na okoliš ima saznanja da će projekt vjerovatno imati značajan uticaj na okoliš drugog entiteta, dužan </w:t>
      </w:r>
      <w:r w:rsidR="00465AC7" w:rsidRPr="00464DE8">
        <w:rPr>
          <w:rFonts w:ascii="Arial" w:hAnsi="Arial" w:cs="Arial"/>
          <w:b w:val="0"/>
          <w:bCs w:val="0"/>
          <w:sz w:val="20"/>
          <w:szCs w:val="20"/>
          <w:u w:val="single"/>
          <w:lang w:val="hr-HR"/>
        </w:rPr>
        <w:t>je izraditi posebno poglavlje u Studiji o uticaju na okoliš sa podacima o mogućim uticajima na okoliš drugog entiteta ili države</w:t>
      </w:r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. Detalji o postupcima za projekte sa mogućim međuentitetskim uticajem mogu biti određeni sporazumom između entiteta koji se zaključuje uz konsultiranje Međuentitetskog tijela za okoliš. Federalno ministarstvo dužno je omogućiti učešće predstavnika </w:t>
      </w:r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javnosti iz države/entiteta na koju projekat može imati uticaja.</w:t>
      </w:r>
    </w:p>
    <w:p w:rsidR="00464DE8" w:rsidRPr="00464DE8" w:rsidRDefault="00464DE8" w:rsidP="00464DE8">
      <w:pPr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4DE8" w:rsidRPr="00A06644" w:rsidRDefault="00464DE8" w:rsidP="00464DE8">
      <w:pPr>
        <w:pStyle w:val="ListParagraph"/>
        <w:numPr>
          <w:ilvl w:val="0"/>
          <w:numId w:val="6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A06644">
        <w:rPr>
          <w:rFonts w:ascii="Arial" w:hAnsi="Arial" w:cs="Arial"/>
          <w:smallCaps/>
          <w:sz w:val="20"/>
          <w:szCs w:val="20"/>
          <w:lang w:val="hr-HR"/>
        </w:rPr>
        <w:t xml:space="preserve">Koji pogoni i postrojenja su dužni izraditi Izvještaj o stanju sigurnosti, plan sprečavanja nesreća većih razmjera i unutrašnji plan intervencija? </w:t>
      </w:r>
    </w:p>
    <w:p w:rsidR="00464DE8" w:rsidRPr="00A06644" w:rsidRDefault="00464DE8" w:rsidP="00464DE8">
      <w:pPr>
        <w:pStyle w:val="ListParagraph"/>
        <w:rPr>
          <w:rFonts w:ascii="Arial" w:hAnsi="Arial" w:cs="Arial"/>
          <w:smallCaps/>
          <w:sz w:val="20"/>
          <w:szCs w:val="20"/>
          <w:lang w:val="hr-HR"/>
        </w:rPr>
      </w:pPr>
    </w:p>
    <w:p w:rsidR="00B72141" w:rsidRPr="00A06644" w:rsidRDefault="00464DE8" w:rsidP="00464DE8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U skladu sa </w:t>
      </w:r>
      <w:hyperlink r:id="rId20" w:history="1">
        <w:r w:rsidRPr="00A06644">
          <w:rPr>
            <w:rFonts w:ascii="Arial" w:hAnsi="Arial" w:cs="Arial"/>
            <w:b w:val="0"/>
            <w:bCs w:val="0"/>
            <w:sz w:val="20"/>
            <w:szCs w:val="20"/>
            <w:lang w:val="hr-HR"/>
          </w:rPr>
          <w:t>Pravilnikom o sadržaju izvještaja o stanju sigurnosti, sadržaju informacija o sigurnosnim mjerama i sadržaju unutarnjih i spoljnih planova intervencije </w:t>
        </w:r>
      </w:hyperlink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>(Sl</w:t>
      </w:r>
      <w:r w:rsidR="000D7476"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>.</w:t>
      </w: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novine Federacije BiH br. 68/05) Izvještaj o stanju sigurnosti, Informacije o sigurnosnim mjerama i Unutrašnji plan intervencije su dužni pripremiti podnosioci zahtjeva za izdavanje okolišne dozvole, </w:t>
      </w:r>
      <w:r w:rsidR="00517E92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za pogone i postrojenja </w:t>
      </w: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u kojim su </w:t>
      </w:r>
      <w:r w:rsidRPr="00A06644">
        <w:rPr>
          <w:rFonts w:ascii="Arial" w:hAnsi="Arial" w:cs="Arial"/>
          <w:bCs w:val="0"/>
          <w:sz w:val="20"/>
          <w:szCs w:val="20"/>
          <w:lang w:val="hr-HR"/>
        </w:rPr>
        <w:t>opasne supstance</w:t>
      </w: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prisutne u količinama iznad količina navedenih u prilogu Pravilnika, uključujući skladišta.</w:t>
      </w:r>
    </w:p>
    <w:p w:rsidR="00464DE8" w:rsidRPr="00A06644" w:rsidRDefault="00464DE8" w:rsidP="00464DE8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</w:t>
      </w:r>
      <w:r w:rsidR="00B72141"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>P</w:t>
      </w: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>lan sprječavanja nesreća većih razmjera i informacije o sigurnosnim mjerama dužni su pripremiti i podnosioci zahtjeva za iz</w:t>
      </w:r>
      <w:r w:rsidR="00A06644">
        <w:rPr>
          <w:rFonts w:ascii="Arial" w:hAnsi="Arial" w:cs="Arial"/>
          <w:b w:val="0"/>
          <w:bCs w:val="0"/>
          <w:sz w:val="20"/>
          <w:szCs w:val="20"/>
          <w:lang w:val="hr-HR"/>
        </w:rPr>
        <w:t>davanje okolišne dozvole</w:t>
      </w: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</w:t>
      </w:r>
      <w:r w:rsidR="000D7476"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>u čijim pogonima su prisutne opasne supstance</w:t>
      </w:r>
      <w:r w:rsidR="00A06644">
        <w:rPr>
          <w:rFonts w:ascii="Arial" w:hAnsi="Arial" w:cs="Arial"/>
          <w:b w:val="0"/>
          <w:bCs w:val="0"/>
          <w:sz w:val="20"/>
          <w:szCs w:val="20"/>
          <w:lang w:val="hr-HR"/>
        </w:rPr>
        <w:t>,</w:t>
      </w:r>
      <w:r w:rsidR="000D7476"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</w:t>
      </w: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uključujući skladišta, iz čl. 9. Pravilnika o pogonima i postrojenjima za koje je obavezna procjena uticaja na okoliš i pogonima i postrojenjima koji mogu biti izgrađeni i pušteni u rad samo ako imaju okolinsku dozvolu («Službene novine Federacije BiH», broj:19/04). </w:t>
      </w:r>
    </w:p>
    <w:p w:rsidR="00464DE8" w:rsidRPr="00464DE8" w:rsidRDefault="00464DE8" w:rsidP="00464DE8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>Podnosilac zahtjeva je dužan Unutarnji plan intervencije dostaviti Federalnoj/Kantonalnoj upravi civilne zaštite.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5AC7" w:rsidP="00464DE8">
      <w:pPr>
        <w:numPr>
          <w:ilvl w:val="0"/>
          <w:numId w:val="6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U kojim slučajevima okolinska dozvola neće biti izdana?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Okolinska dozvola neće biti izdata ukoliko rezultati Studije o procjeni uticaja na okoliš pokažu:</w:t>
      </w:r>
    </w:p>
    <w:p w:rsidR="00465AC7" w:rsidRPr="00464DE8" w:rsidRDefault="00465AC7" w:rsidP="00B72141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utvrdi da bi projekat mogao izazvati znatno zagađivanje okoliša ili u znatnoj mjeri ugroziti okoliš</w:t>
      </w:r>
    </w:p>
    <w:p w:rsidR="00465AC7" w:rsidRPr="00464DE8" w:rsidRDefault="00465AC7" w:rsidP="00B72141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projekt nije u skladu sa Međuentitetskim programom zaštite okoliša i Federalnom strategijom i Akcionim planom zaštite okoliša i</w:t>
      </w:r>
    </w:p>
    <w:p w:rsidR="00465AC7" w:rsidRPr="00464DE8" w:rsidRDefault="00465AC7" w:rsidP="00B72141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projekat nije u skladu sa međunarodnim obavezama države po pitanju zaštite okoliša</w:t>
      </w:r>
    </w:p>
    <w:p w:rsidR="00465AC7" w:rsidRPr="00464DE8" w:rsidRDefault="00465AC7" w:rsidP="00B72141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lastRenderedPageBreak/>
        <w:t>ukoliko za navedeni projekat nije izdat vodni akt (prethodna vodna saglasnost) u skladu sa Zakonom o vodama (Sl. novine FBiH br. 70/06) od nadležne agencije za vodno područje ili upravni akt nadležne agencije u kojim je utvrđeno da vodni akt nije potreban.</w:t>
      </w:r>
    </w:p>
    <w:p w:rsidR="00465AC7" w:rsidRPr="00464DE8" w:rsidRDefault="00465AC7" w:rsidP="00465AC7">
      <w:pPr>
        <w:ind w:left="360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5AC7" w:rsidP="00464DE8">
      <w:pPr>
        <w:numPr>
          <w:ilvl w:val="0"/>
          <w:numId w:val="6"/>
        </w:numPr>
        <w:ind w:right="133"/>
        <w:jc w:val="both"/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Ko snosi troškove javne rasprave, ocjene studije o procjeni uticaja na okoliš i izdavanja okolinske dozvole?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smallCaps/>
          <w:sz w:val="20"/>
          <w:szCs w:val="20"/>
          <w:lang w:val="hr-HR"/>
        </w:rPr>
      </w:pPr>
    </w:p>
    <w:p w:rsidR="00465AC7" w:rsidRPr="00464DE8" w:rsidRDefault="00465AC7" w:rsidP="00465AC7">
      <w:pPr>
        <w:ind w:right="133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Troškove javne rasprave snosi podnosilac zahtjeva. Naknada za ocjenu Studije o uticaju na okoliš obuhvata nadoknadu za rad pravnih i tehničkih stručnjaka iz nadležnog organa i sve ostale troškove koje mogu imati nadležni organi ili drugi učesnici u postupku procjene uticaja na okoliš i izdavanja okolinske dozvole.</w:t>
      </w:r>
    </w:p>
    <w:p w:rsidR="00465AC7" w:rsidRPr="00464DE8" w:rsidRDefault="00465AC7" w:rsidP="00465AC7">
      <w:pPr>
        <w:ind w:left="360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5AC7" w:rsidP="00464DE8">
      <w:pPr>
        <w:numPr>
          <w:ilvl w:val="0"/>
          <w:numId w:val="6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Kako se dostavlja  Zahtjev za izdavanje okolinske dozvole?</w:t>
      </w:r>
    </w:p>
    <w:p w:rsidR="00465AC7" w:rsidRPr="00464DE8" w:rsidRDefault="00465AC7" w:rsidP="00465AC7">
      <w:pPr>
        <w:jc w:val="both"/>
        <w:rPr>
          <w:rFonts w:ascii="Arial" w:hAnsi="Arial" w:cs="Arial"/>
          <w:smallCaps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Zahtjev za izdavanje okolinske </w:t>
      </w:r>
      <w:r w:rsidRPr="00C92C7B">
        <w:rPr>
          <w:rFonts w:ascii="Arial" w:hAnsi="Arial" w:cs="Arial"/>
          <w:b w:val="0"/>
          <w:sz w:val="20"/>
          <w:szCs w:val="20"/>
          <w:lang w:val="hr-HR"/>
        </w:rPr>
        <w:t>dozvole</w:t>
      </w:r>
      <w:r w:rsidR="00360D04" w:rsidRPr="00C92C7B">
        <w:rPr>
          <w:rFonts w:ascii="Arial" w:hAnsi="Arial" w:cs="Arial"/>
          <w:b w:val="0"/>
          <w:sz w:val="20"/>
          <w:szCs w:val="20"/>
          <w:lang w:val="hr-HR"/>
        </w:rPr>
        <w:t xml:space="preserve"> sa popunjenim i ovjerenim </w:t>
      </w:r>
      <w:r w:rsidR="00B72141" w:rsidRPr="00C92C7B">
        <w:rPr>
          <w:rFonts w:ascii="Arial" w:hAnsi="Arial" w:cs="Arial"/>
          <w:b w:val="0"/>
          <w:sz w:val="20"/>
          <w:szCs w:val="20"/>
          <w:u w:val="single"/>
          <w:lang w:val="hr-HR"/>
        </w:rPr>
        <w:t>O</w:t>
      </w:r>
      <w:r w:rsidR="00360D04" w:rsidRPr="00C92C7B">
        <w:rPr>
          <w:rFonts w:ascii="Arial" w:hAnsi="Arial" w:cs="Arial"/>
          <w:b w:val="0"/>
          <w:sz w:val="20"/>
          <w:szCs w:val="20"/>
          <w:u w:val="single"/>
          <w:lang w:val="hr-HR"/>
        </w:rPr>
        <w:t>brascem</w:t>
      </w:r>
      <w:r w:rsidR="00254AED">
        <w:rPr>
          <w:rFonts w:ascii="Arial" w:hAnsi="Arial" w:cs="Arial"/>
          <w:b w:val="0"/>
          <w:sz w:val="20"/>
          <w:szCs w:val="20"/>
          <w:u w:val="single"/>
          <w:lang w:val="hr-HR"/>
        </w:rPr>
        <w:t>,</w:t>
      </w:r>
      <w:r w:rsidR="00360D04" w:rsidRPr="00C92C7B">
        <w:rPr>
          <w:rFonts w:ascii="Arial" w:hAnsi="Arial" w:cs="Arial"/>
          <w:b w:val="0"/>
          <w:sz w:val="20"/>
          <w:szCs w:val="20"/>
          <w:u w:val="single"/>
          <w:lang w:val="hr-HR"/>
        </w:rPr>
        <w:t xml:space="preserve"> uz zahtjev za procjenu uticaja na okoliš i izdavanje okolišne dozvole</w:t>
      </w:r>
      <w:r w:rsidR="00360D04" w:rsidRPr="00C92C7B">
        <w:rPr>
          <w:rFonts w:ascii="Arial" w:hAnsi="Arial" w:cs="Arial"/>
          <w:b w:val="0"/>
          <w:sz w:val="20"/>
          <w:szCs w:val="20"/>
          <w:lang w:val="hr-HR"/>
        </w:rPr>
        <w:t xml:space="preserve"> </w:t>
      </w:r>
      <w:r w:rsidR="003F66CD" w:rsidRPr="00C92C7B">
        <w:rPr>
          <w:rFonts w:ascii="Arial" w:hAnsi="Arial" w:cs="Arial"/>
          <w:b w:val="0"/>
          <w:sz w:val="20"/>
          <w:szCs w:val="20"/>
          <w:lang w:val="hr-HR"/>
        </w:rPr>
        <w:t>(</w:t>
      </w:r>
      <w:r w:rsidR="00360D04" w:rsidRPr="00C92C7B">
        <w:rPr>
          <w:rFonts w:ascii="Arial" w:hAnsi="Arial" w:cs="Arial"/>
          <w:b w:val="0"/>
          <w:sz w:val="20"/>
          <w:szCs w:val="20"/>
          <w:lang w:val="hr-HR"/>
        </w:rPr>
        <w:t>nalazi u prilogu ovog informativnog  letka</w:t>
      </w:r>
      <w:r w:rsidR="003F66CD" w:rsidRPr="00C92C7B">
        <w:rPr>
          <w:rFonts w:ascii="Arial" w:hAnsi="Arial" w:cs="Arial"/>
          <w:b w:val="0"/>
          <w:sz w:val="20"/>
          <w:szCs w:val="20"/>
          <w:lang w:val="hr-HR"/>
        </w:rPr>
        <w:t>)</w:t>
      </w:r>
      <w:r w:rsidR="00360D04" w:rsidRPr="00C92C7B">
        <w:rPr>
          <w:rFonts w:ascii="Arial" w:hAnsi="Arial" w:cs="Arial"/>
          <w:b w:val="0"/>
          <w:sz w:val="20"/>
          <w:szCs w:val="20"/>
          <w:lang w:val="hr-HR"/>
        </w:rPr>
        <w:t xml:space="preserve"> </w:t>
      </w:r>
      <w:r w:rsidRPr="00C92C7B">
        <w:rPr>
          <w:rFonts w:ascii="Arial" w:hAnsi="Arial" w:cs="Arial"/>
          <w:b w:val="0"/>
          <w:sz w:val="20"/>
          <w:szCs w:val="20"/>
          <w:lang w:val="hr-HR"/>
        </w:rPr>
        <w:t>se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 predaje na protokol Federalnog ministarstva okoliša i turizma, Hamdije Čemerlića br. 2, 71 000 Sarajevo ili poštom na navedenu adresu.</w:t>
      </w:r>
    </w:p>
    <w:p w:rsidR="00465AC7" w:rsidRPr="00464DE8" w:rsidRDefault="000D7476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3360" behindDoc="0" locked="0" layoutInCell="1" allowOverlap="1" wp14:anchorId="53D9A949" wp14:editId="60404024">
            <wp:simplePos x="0" y="0"/>
            <wp:positionH relativeFrom="margin">
              <wp:posOffset>2040255</wp:posOffset>
            </wp:positionH>
            <wp:positionV relativeFrom="margin">
              <wp:posOffset>4095750</wp:posOffset>
            </wp:positionV>
            <wp:extent cx="1042670" cy="1104900"/>
            <wp:effectExtent l="0" t="0" r="5080" b="0"/>
            <wp:wrapSquare wrapText="bothSides"/>
            <wp:docPr id="6" name="Picture 6" descr="https://www.prevoditelj-teksta.com/wp-content/uploads/2013/04/e-p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evoditelj-teksta.com/wp-content/uploads/2013/04/e-pos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4" r="24688"/>
                    <a:stretch/>
                  </pic:blipFill>
                  <pic:spPr bwMode="auto">
                    <a:xfrm>
                      <a:off x="0" y="0"/>
                      <a:ext cx="10426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AC7" w:rsidRPr="00464DE8">
        <w:rPr>
          <w:rFonts w:ascii="Arial" w:hAnsi="Arial" w:cs="Arial"/>
          <w:b w:val="0"/>
          <w:sz w:val="20"/>
          <w:szCs w:val="20"/>
          <w:lang w:val="hr-HR"/>
        </w:rPr>
        <w:t>Potrebno je predati jednu uvezanu i ostraničenu kopiju zahtjeva kao i kopiju zahtjeva zapisanu na jednom od elektronskih medija (flopi disk ili CD).</w:t>
      </w:r>
      <w:r w:rsidR="00B72141" w:rsidRPr="00B72141">
        <w:rPr>
          <w:rFonts w:ascii="Arial" w:hAnsi="Arial" w:cs="Arial"/>
          <w:b w:val="0"/>
          <w:noProof/>
          <w:sz w:val="20"/>
          <w:szCs w:val="20"/>
        </w:rPr>
        <w:t xml:space="preserve"> 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smallCaps/>
          <w:strike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Uz zahtjev priložiti uplatnicu na iznos od 250,00 KM u skladu sa Zakonom o federalnim upravnim taksama i tarifi federalnih upravnih taksi („Službene novine Federacije BiH“, br. 43/13), na žiro račun kod UNION banka d.d. Sarajevo za primatelja: Budžet Federacije BiH, račun br: 1020500000106698, budžetska institucija: 9999999 ili 0000000, broj općine 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077, vrsta prihoda: 722 112 sa pozivom na broj: 00 00 0000 00 kod UNION banke d.d Sarajevo.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smallCaps/>
          <w:sz w:val="20"/>
          <w:szCs w:val="20"/>
          <w:lang w:val="hr-HR"/>
        </w:rPr>
      </w:pPr>
    </w:p>
    <w:p w:rsidR="00465AC7" w:rsidRPr="00464DE8" w:rsidRDefault="00465AC7" w:rsidP="00464DE8">
      <w:pPr>
        <w:pStyle w:val="ListParagraph"/>
        <w:numPr>
          <w:ilvl w:val="0"/>
          <w:numId w:val="6"/>
        </w:numPr>
        <w:ind w:right="133"/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Koliko traje postupak izdavanje okolinske dozvole?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5AC7" w:rsidP="00465AC7">
      <w:pPr>
        <w:ind w:right="133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Prema članu 71. Zakona o zaštiti okoliša (Sl. novine FBiH 33/03) rok za izdavanje okolinske dozvole je najduže </w:t>
      </w:r>
      <w:r w:rsidRPr="00464DE8">
        <w:rPr>
          <w:rFonts w:ascii="Arial" w:hAnsi="Arial" w:cs="Arial"/>
          <w:b w:val="0"/>
          <w:sz w:val="20"/>
          <w:szCs w:val="20"/>
          <w:u w:val="single"/>
          <w:lang w:val="hr-HR"/>
        </w:rPr>
        <w:t>120 dana od dana podnošenja zahtjeva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.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Ukoliko je uz zahtjev dostavljena Studija o procjeni uticaja na okoliš, prema čl. 24. 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Zakona  o izmjenama i dopunama zakona o zaštiti okoliša (Sl. novine FBiH 38/09)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, nadležno ministarstvo će na osnovu ocjene studije o procjeni uticaja na okoliš donijeti rješenje o okolinskoj dozvoli u roku od 30 dana od dana dostavljanja ocjene.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4DE8">
      <w:pPr>
        <w:pStyle w:val="ListParagraph"/>
        <w:numPr>
          <w:ilvl w:val="0"/>
          <w:numId w:val="6"/>
        </w:numPr>
        <w:ind w:right="133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Kome se dostavlja okolinska dozvola?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smallCaps/>
          <w:sz w:val="20"/>
          <w:szCs w:val="20"/>
          <w:lang w:val="hr-HR"/>
        </w:rPr>
      </w:pPr>
    </w:p>
    <w:p w:rsidR="00465AC7" w:rsidRPr="00464DE8" w:rsidRDefault="00465AC7" w:rsidP="00465AC7">
      <w:pPr>
        <w:ind w:right="133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Okolinska dozvola se dostavlja nadležnim organima, zainteresiranim subjektima i nevladinim organizacijama koje su bile uključene u postupak javnih konsultacija. Organ lokalne uprave dužan je putem svojih službi zaduženih za rad sa mjesnim zajednicama (MZ), osigurati da MZ fotokopiju okolišne dozvole postave na vidno i prometno mjesto (oglasnu ploču) dostupno građanima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i/>
          <w:smallCaps/>
          <w:sz w:val="20"/>
          <w:szCs w:val="20"/>
          <w:lang w:val="hr-HR"/>
        </w:rPr>
      </w:pPr>
    </w:p>
    <w:p w:rsidR="00465AC7" w:rsidRPr="00464DE8" w:rsidRDefault="00465AC7" w:rsidP="00464DE8">
      <w:pPr>
        <w:numPr>
          <w:ilvl w:val="0"/>
          <w:numId w:val="6"/>
        </w:numPr>
        <w:ind w:right="133"/>
        <w:jc w:val="both"/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Da li je moja okolinska dozvola trajna?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smallCaps/>
          <w:sz w:val="20"/>
          <w:szCs w:val="20"/>
          <w:lang w:val="hr-HR"/>
        </w:rPr>
      </w:pPr>
    </w:p>
    <w:p w:rsidR="00981FFB" w:rsidRPr="00464DE8" w:rsidRDefault="00465AC7" w:rsidP="00465AC7">
      <w:pPr>
        <w:ind w:right="133"/>
        <w:jc w:val="both"/>
        <w:rPr>
          <w:rFonts w:ascii="Arial" w:hAnsi="Arial" w:cs="Arial"/>
          <w:b w:val="0"/>
          <w:sz w:val="20"/>
          <w:szCs w:val="20"/>
          <w:lang w:val="hr-HR"/>
        </w:rPr>
        <w:sectPr w:rsidR="00981FFB" w:rsidRPr="00464DE8" w:rsidSect="006C1C6A">
          <w:headerReference w:type="default" r:id="rId22"/>
          <w:footerReference w:type="default" r:id="rId23"/>
          <w:pgSz w:w="16840" w:h="11907" w:orient="landscape" w:code="9"/>
          <w:pgMar w:top="851" w:right="742" w:bottom="284" w:left="567" w:header="372" w:footer="334" w:gutter="0"/>
          <w:cols w:num="3" w:space="367"/>
          <w:docGrid w:linePitch="360"/>
        </w:sect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Prema članu 68. Zakona o zaštiti okoliša (Sl. novine FBiH 33/03), okolinska dozvola se izdaje na period od </w:t>
      </w:r>
      <w:r w:rsidRPr="00464DE8">
        <w:rPr>
          <w:rFonts w:ascii="Arial" w:hAnsi="Arial" w:cs="Arial"/>
          <w:b w:val="0"/>
          <w:sz w:val="20"/>
          <w:szCs w:val="20"/>
          <w:u w:val="single"/>
          <w:lang w:val="hr-HR"/>
        </w:rPr>
        <w:t>5 godina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, nakon čega je investitor dužan podnijeti zahtjev za ponovno izdavanje okolinske dozvole. Član 74. Zakona o zaštiti okoliša (Sl. novine FBiH 33/03) propisuje uslove pod kojim se i prije isteka zakonskog roka može</w:t>
      </w:r>
      <w:r w:rsidR="00981FFB" w:rsidRPr="00464DE8">
        <w:rPr>
          <w:rFonts w:ascii="Arial" w:hAnsi="Arial" w:cs="Arial"/>
          <w:b w:val="0"/>
          <w:sz w:val="20"/>
          <w:szCs w:val="20"/>
          <w:lang w:val="hr-HR"/>
        </w:rPr>
        <w:t xml:space="preserve"> preispitati okolinska dozvola.</w:t>
      </w:r>
    </w:p>
    <w:p w:rsidR="00465AC7" w:rsidRPr="00981FFB" w:rsidRDefault="00465AC7" w:rsidP="00ED714B">
      <w:pPr>
        <w:jc w:val="center"/>
        <w:rPr>
          <w:rFonts w:ascii="Arial" w:hAnsi="Arial" w:cs="Arial"/>
          <w:b w:val="0"/>
          <w:sz w:val="20"/>
          <w:szCs w:val="20"/>
          <w:lang w:val="hr-HR"/>
        </w:rPr>
      </w:pPr>
      <w:bookmarkStart w:id="0" w:name="_GoBack"/>
      <w:bookmarkEnd w:id="0"/>
    </w:p>
    <w:sectPr w:rsidR="00465AC7" w:rsidRPr="00981FFB" w:rsidSect="00D571CD">
      <w:pgSz w:w="12240" w:h="15840"/>
      <w:pgMar w:top="1417" w:right="4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18" w:rsidRDefault="00753B18">
      <w:r>
        <w:separator/>
      </w:r>
    </w:p>
  </w:endnote>
  <w:endnote w:type="continuationSeparator" w:id="0">
    <w:p w:rsidR="00753B18" w:rsidRDefault="0075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2898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464DE8" w:rsidRPr="00464DE8" w:rsidRDefault="00464DE8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464DE8">
          <w:rPr>
            <w:rFonts w:ascii="Arial" w:hAnsi="Arial" w:cs="Arial"/>
            <w:sz w:val="18"/>
            <w:szCs w:val="18"/>
          </w:rPr>
          <w:fldChar w:fldCharType="begin"/>
        </w:r>
        <w:r w:rsidRPr="00464DE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64DE8">
          <w:rPr>
            <w:rFonts w:ascii="Arial" w:hAnsi="Arial" w:cs="Arial"/>
            <w:sz w:val="18"/>
            <w:szCs w:val="18"/>
          </w:rPr>
          <w:fldChar w:fldCharType="separate"/>
        </w:r>
        <w:r w:rsidR="00ED714B">
          <w:rPr>
            <w:rFonts w:ascii="Arial" w:hAnsi="Arial" w:cs="Arial"/>
            <w:noProof/>
            <w:sz w:val="18"/>
            <w:szCs w:val="18"/>
          </w:rPr>
          <w:t>5</w:t>
        </w:r>
        <w:r w:rsidRPr="00464DE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464DE8" w:rsidRDefault="00464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18" w:rsidRDefault="00753B18">
      <w:r>
        <w:separator/>
      </w:r>
    </w:p>
  </w:footnote>
  <w:footnote w:type="continuationSeparator" w:id="0">
    <w:p w:rsidR="00753B18" w:rsidRDefault="0075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5277"/>
      <w:gridCol w:w="5373"/>
      <w:gridCol w:w="4881"/>
    </w:tblGrid>
    <w:tr w:rsidR="002E5F6A">
      <w:trPr>
        <w:trHeight w:val="569"/>
      </w:trPr>
      <w:tc>
        <w:tcPr>
          <w:tcW w:w="5442" w:type="dxa"/>
          <w:tcBorders>
            <w:bottom w:val="single" w:sz="4" w:space="0" w:color="auto"/>
          </w:tcBorders>
        </w:tcPr>
        <w:p w:rsidR="002E5F6A" w:rsidRDefault="004D43EC">
          <w:pPr>
            <w:rPr>
              <w:rFonts w:ascii="Arial" w:hAnsi="Arial"/>
              <w:bCs w:val="0"/>
              <w:sz w:val="12"/>
              <w:szCs w:val="12"/>
              <w:lang w:val="hr-HR"/>
            </w:rPr>
          </w:pPr>
          <w:r>
            <w:rPr>
              <w:rFonts w:ascii="Arial" w:hAnsi="Arial"/>
              <w:bCs w:val="0"/>
              <w:sz w:val="12"/>
              <w:szCs w:val="12"/>
              <w:lang w:val="hr-HR"/>
            </w:rPr>
            <w:t>BOSNA I HERCEGOVINA</w:t>
          </w:r>
        </w:p>
        <w:p w:rsidR="002E5F6A" w:rsidRDefault="004D43EC">
          <w:pPr>
            <w:rPr>
              <w:rFonts w:ascii="Arial" w:hAnsi="Arial"/>
              <w:bCs w:val="0"/>
              <w:sz w:val="12"/>
              <w:szCs w:val="12"/>
              <w:lang w:val="hr-HR"/>
            </w:rPr>
          </w:pPr>
          <w:r>
            <w:rPr>
              <w:rFonts w:ascii="Arial" w:hAnsi="Arial"/>
              <w:bCs w:val="0"/>
              <w:sz w:val="12"/>
              <w:szCs w:val="12"/>
              <w:lang w:val="hr-HR"/>
            </w:rPr>
            <w:t>FEDERACIJA BOSNE I HERCEGOVINE</w:t>
          </w:r>
        </w:p>
        <w:p w:rsidR="002E5F6A" w:rsidRDefault="004D43EC">
          <w:pPr>
            <w:rPr>
              <w:rFonts w:ascii="Arial" w:hAnsi="Arial"/>
              <w:bCs w:val="0"/>
              <w:sz w:val="12"/>
              <w:szCs w:val="12"/>
              <w:lang w:val="hr-HR"/>
            </w:rPr>
          </w:pPr>
          <w:r>
            <w:rPr>
              <w:rFonts w:ascii="Arial" w:hAnsi="Arial"/>
              <w:bCs w:val="0"/>
              <w:sz w:val="12"/>
              <w:szCs w:val="12"/>
              <w:lang w:val="hr-HR"/>
            </w:rPr>
            <w:t>FEDERALNO MINISTARSTVO OKOLIŠA i TURIZMA</w:t>
          </w:r>
        </w:p>
        <w:p w:rsidR="002E5F6A" w:rsidRDefault="00753B18" w:rsidP="004E1AA0">
          <w:pPr>
            <w:rPr>
              <w:rFonts w:ascii="Arial" w:hAnsi="Arial"/>
              <w:bCs w:val="0"/>
              <w:sz w:val="12"/>
              <w:szCs w:val="12"/>
              <w:lang w:val="hr-HR"/>
            </w:rPr>
          </w:pPr>
        </w:p>
      </w:tc>
      <w:tc>
        <w:tcPr>
          <w:tcW w:w="5526" w:type="dxa"/>
          <w:tcBorders>
            <w:bottom w:val="single" w:sz="4" w:space="0" w:color="auto"/>
          </w:tcBorders>
        </w:tcPr>
        <w:p w:rsidR="002E5F6A" w:rsidRDefault="004D43EC">
          <w:pPr>
            <w:pStyle w:val="BodyTextIndent2"/>
            <w:ind w:left="0"/>
            <w:rPr>
              <w:sz w:val="18"/>
            </w:rPr>
          </w:pPr>
          <w:r>
            <w:rPr>
              <w:sz w:val="18"/>
            </w:rPr>
            <w:t xml:space="preserve">INFORMATIVNI LETAK </w:t>
          </w:r>
        </w:p>
        <w:p w:rsidR="002E5F6A" w:rsidRDefault="004D43EC">
          <w:pPr>
            <w:jc w:val="center"/>
            <w:rPr>
              <w:rFonts w:ascii="Arial" w:hAnsi="Arial" w:cs="Arial"/>
              <w:color w:val="000000"/>
              <w:sz w:val="18"/>
              <w:szCs w:val="18"/>
              <w:lang w:val="hr-HR"/>
            </w:rPr>
          </w:pPr>
          <w:r>
            <w:rPr>
              <w:rFonts w:ascii="Arial" w:hAnsi="Arial" w:cs="Arial"/>
              <w:color w:val="000000"/>
              <w:sz w:val="18"/>
              <w:szCs w:val="18"/>
              <w:lang w:val="hr-HR"/>
            </w:rPr>
            <w:t xml:space="preserve">- PROCEDURA IZDAVANJA OKOLINSKE DOZVOLE - </w:t>
          </w:r>
        </w:p>
        <w:p w:rsidR="002E5F6A" w:rsidRDefault="00753B18">
          <w:pPr>
            <w:rPr>
              <w:rFonts w:ascii="Arial" w:hAnsi="Arial"/>
              <w:bCs w:val="0"/>
              <w:sz w:val="12"/>
              <w:szCs w:val="12"/>
              <w:lang w:val="hr-HR"/>
            </w:rPr>
          </w:pPr>
        </w:p>
      </w:tc>
      <w:tc>
        <w:tcPr>
          <w:tcW w:w="5034" w:type="dxa"/>
          <w:tcBorders>
            <w:bottom w:val="single" w:sz="4" w:space="0" w:color="auto"/>
          </w:tcBorders>
        </w:tcPr>
        <w:p w:rsidR="002E5F6A" w:rsidRPr="000D5078" w:rsidRDefault="004D43EC">
          <w:pPr>
            <w:pStyle w:val="Footer"/>
            <w:tabs>
              <w:tab w:val="clear" w:pos="4536"/>
              <w:tab w:val="center" w:pos="4692"/>
            </w:tabs>
            <w:ind w:right="36"/>
            <w:jc w:val="right"/>
            <w:rPr>
              <w:rFonts w:ascii="Arial" w:hAnsi="Arial"/>
              <w:sz w:val="16"/>
              <w:szCs w:val="16"/>
              <w:lang w:val="es-ES"/>
            </w:rPr>
          </w:pPr>
          <w:r w:rsidRPr="000D5078">
            <w:rPr>
              <w:rFonts w:ascii="Arial" w:hAnsi="Arial"/>
              <w:sz w:val="16"/>
              <w:szCs w:val="16"/>
              <w:lang w:val="es-ES"/>
            </w:rPr>
            <w:t xml:space="preserve">Sarajevo, </w:t>
          </w:r>
          <w:r>
            <w:rPr>
              <w:rFonts w:ascii="Arial" w:hAnsi="Arial"/>
              <w:sz w:val="16"/>
              <w:szCs w:val="16"/>
              <w:lang w:val="es-ES"/>
            </w:rPr>
            <w:t>H. Čemerlića 2</w:t>
          </w:r>
          <w:r w:rsidRPr="000D5078">
            <w:rPr>
              <w:rFonts w:ascii="Arial" w:hAnsi="Arial"/>
              <w:sz w:val="16"/>
              <w:szCs w:val="16"/>
              <w:lang w:val="es-ES"/>
            </w:rPr>
            <w:t xml:space="preserve">, </w:t>
          </w:r>
        </w:p>
        <w:p w:rsidR="002E5F6A" w:rsidRPr="000D5078" w:rsidRDefault="004D43EC" w:rsidP="004E1AA0">
          <w:pPr>
            <w:jc w:val="right"/>
            <w:rPr>
              <w:rFonts w:ascii="Arial" w:hAnsi="Arial"/>
              <w:sz w:val="16"/>
              <w:szCs w:val="16"/>
              <w:lang w:val="es-ES"/>
            </w:rPr>
          </w:pPr>
          <w:r w:rsidRPr="000D5078">
            <w:rPr>
              <w:rFonts w:ascii="Arial" w:hAnsi="Arial"/>
              <w:sz w:val="16"/>
              <w:szCs w:val="16"/>
              <w:lang w:val="es-ES"/>
            </w:rPr>
            <w:t xml:space="preserve">Tel/Fax: + 387 33 </w:t>
          </w:r>
          <w:r>
            <w:rPr>
              <w:rFonts w:ascii="Arial" w:hAnsi="Arial"/>
              <w:sz w:val="16"/>
              <w:szCs w:val="16"/>
              <w:lang w:val="es-ES"/>
            </w:rPr>
            <w:t>72 67 00</w:t>
          </w:r>
        </w:p>
      </w:tc>
    </w:tr>
  </w:tbl>
  <w:p w:rsidR="002E5F6A" w:rsidRDefault="00753B18">
    <w:pPr>
      <w:rPr>
        <w:rFonts w:ascii="Arial" w:hAnsi="Arial"/>
        <w:bCs w:val="0"/>
        <w:sz w:val="12"/>
        <w:szCs w:val="12"/>
        <w:lang w:val="hr-HR"/>
      </w:rPr>
    </w:pPr>
  </w:p>
  <w:p w:rsidR="002E5F6A" w:rsidRPr="000D5078" w:rsidRDefault="00753B18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EA8"/>
    <w:multiLevelType w:val="hybridMultilevel"/>
    <w:tmpl w:val="33E0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A33"/>
    <w:multiLevelType w:val="hybridMultilevel"/>
    <w:tmpl w:val="DC624002"/>
    <w:lvl w:ilvl="0" w:tplc="074E8D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E496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6C46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C47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6ED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40C4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E5E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EA2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A0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E48C6"/>
    <w:multiLevelType w:val="hybridMultilevel"/>
    <w:tmpl w:val="A57E3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77E3C"/>
    <w:multiLevelType w:val="hybridMultilevel"/>
    <w:tmpl w:val="4C28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B4900"/>
    <w:multiLevelType w:val="hybridMultilevel"/>
    <w:tmpl w:val="0040D4A6"/>
    <w:lvl w:ilvl="0" w:tplc="71764E04">
      <w:start w:val="1"/>
      <w:numFmt w:val="bullet"/>
      <w:pStyle w:val="nab"/>
      <w:lvlText w:val=""/>
      <w:lvlJc w:val="left"/>
      <w:pPr>
        <w:tabs>
          <w:tab w:val="num" w:pos="454"/>
        </w:tabs>
        <w:ind w:left="454" w:hanging="284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91283"/>
    <w:multiLevelType w:val="hybridMultilevel"/>
    <w:tmpl w:val="3B5E0FC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F6AFB"/>
    <w:multiLevelType w:val="hybridMultilevel"/>
    <w:tmpl w:val="611E4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77C3E"/>
    <w:multiLevelType w:val="hybridMultilevel"/>
    <w:tmpl w:val="8C1444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F77EB"/>
    <w:multiLevelType w:val="hybridMultilevel"/>
    <w:tmpl w:val="69B6C5D2"/>
    <w:lvl w:ilvl="0" w:tplc="074E8D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E76A7"/>
    <w:multiLevelType w:val="hybridMultilevel"/>
    <w:tmpl w:val="A6FCB2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A228D"/>
    <w:multiLevelType w:val="hybridMultilevel"/>
    <w:tmpl w:val="A6FCB2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739A5"/>
    <w:multiLevelType w:val="hybridMultilevel"/>
    <w:tmpl w:val="4FAE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C262A"/>
    <w:multiLevelType w:val="hybridMultilevel"/>
    <w:tmpl w:val="876A57C2"/>
    <w:lvl w:ilvl="0" w:tplc="5EF8B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C7"/>
    <w:rsid w:val="000030F3"/>
    <w:rsid w:val="00051A89"/>
    <w:rsid w:val="000A1BE5"/>
    <w:rsid w:val="000C632D"/>
    <w:rsid w:val="000D7476"/>
    <w:rsid w:val="00254AED"/>
    <w:rsid w:val="00274135"/>
    <w:rsid w:val="00335A11"/>
    <w:rsid w:val="00360D04"/>
    <w:rsid w:val="003F4B4B"/>
    <w:rsid w:val="003F66CD"/>
    <w:rsid w:val="00464DE8"/>
    <w:rsid w:val="00465AC7"/>
    <w:rsid w:val="004D43EC"/>
    <w:rsid w:val="00517E92"/>
    <w:rsid w:val="00533C59"/>
    <w:rsid w:val="005C77B9"/>
    <w:rsid w:val="006B3DA9"/>
    <w:rsid w:val="00753B18"/>
    <w:rsid w:val="00852588"/>
    <w:rsid w:val="00915BC8"/>
    <w:rsid w:val="00981FFB"/>
    <w:rsid w:val="00A06644"/>
    <w:rsid w:val="00A33592"/>
    <w:rsid w:val="00B72141"/>
    <w:rsid w:val="00C92C7B"/>
    <w:rsid w:val="00D426CD"/>
    <w:rsid w:val="00D76919"/>
    <w:rsid w:val="00E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8F463"/>
  <w15:chartTrackingRefBased/>
  <w15:docId w15:val="{FC627932-9B5C-4F18-92FD-473EC963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65AC7"/>
    <w:pPr>
      <w:ind w:left="180"/>
      <w:jc w:val="center"/>
    </w:pPr>
    <w:rPr>
      <w:rFonts w:ascii="Arial" w:hAnsi="Arial" w:cs="Arial"/>
      <w:color w:val="000000"/>
      <w:sz w:val="20"/>
      <w:szCs w:val="18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465AC7"/>
    <w:rPr>
      <w:rFonts w:ascii="Arial" w:eastAsia="Times New Roman" w:hAnsi="Arial" w:cs="Arial"/>
      <w:b/>
      <w:bCs/>
      <w:color w:val="000000"/>
      <w:sz w:val="20"/>
      <w:szCs w:val="18"/>
      <w:lang w:val="hr-HR"/>
    </w:rPr>
  </w:style>
  <w:style w:type="paragraph" w:customStyle="1" w:styleId="nab">
    <w:name w:val="nab"/>
    <w:basedOn w:val="Normal"/>
    <w:rsid w:val="00465AC7"/>
    <w:pPr>
      <w:numPr>
        <w:numId w:val="1"/>
      </w:numPr>
      <w:jc w:val="both"/>
    </w:pPr>
    <w:rPr>
      <w:rFonts w:ascii="Arial" w:hAnsi="Arial" w:cs="Arial"/>
      <w:b w:val="0"/>
      <w:bCs w:val="0"/>
      <w:color w:val="000000"/>
      <w:sz w:val="20"/>
      <w:szCs w:val="18"/>
      <w:lang w:val="hr-HR"/>
    </w:rPr>
  </w:style>
  <w:style w:type="paragraph" w:styleId="Header">
    <w:name w:val="header"/>
    <w:basedOn w:val="Normal"/>
    <w:link w:val="HeaderChar"/>
    <w:rsid w:val="00465A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5A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465A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A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465A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5A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5A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C7"/>
    <w:rPr>
      <w:rFonts w:ascii="Segoe UI" w:eastAsia="Times New Roman" w:hAnsi="Segoe UI" w:cs="Segoe UI"/>
      <w:b/>
      <w:bCs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AC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A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5A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81FFB"/>
    <w:rPr>
      <w:rFonts w:asciiTheme="minorHAnsi" w:eastAsiaTheme="minorHAnsi" w:hAnsiTheme="minorHAnsi" w:cstheme="minorBidi"/>
      <w:b w:val="0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F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1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bihvlada.gov.ba/bosanski/zakoni/2010/zakoni/20bos.htm" TargetMode="External"/><Relationship Id="rId18" Type="http://schemas.openxmlformats.org/officeDocument/2006/relationships/hyperlink" Target="https://www.fmoit.gov.ba/upload/file/okolisne-dozvole/Lista%20nositelja%20-%202017%20po%20abecedi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www.fbihvlada.gov.ba/bosanski/zakoni/2010/zakoni/3bos.htm" TargetMode="External"/><Relationship Id="rId17" Type="http://schemas.openxmlformats.org/officeDocument/2006/relationships/hyperlink" Target="https://www.fmoit.gov.ba/upload/file/okolisne-dozvole/Lista%20nositelja%20-%202017%20po%20abecedi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www.fmoit.gov.ba/upload/file/okolisne-dozvole/Pravilnik%20o%20sadrzaju%20izvjestaja%20o%20stanju%20sigurnosti,%20sigurnosnim%20mjerama%20h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bihvlada.gov.ba/bosanski/zakoni/2008/zakoni/13bos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hyperlink" Target="http://www.fbihvlada.gov.ba/bosanski/zakoni/2007/zakoni/17bos.htm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http://www.fbihvlada.gov.ba/bosanski/zakoni/2006/zakoni/5bos.htm" TargetMode="External"/><Relationship Id="rId14" Type="http://schemas.openxmlformats.org/officeDocument/2006/relationships/hyperlink" Target="http://www.fbihvlada.gov.ba/bosanski/zakoni/2010/zakoni/38bos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3299-5EAB-4855-8D45-BC7B9B3E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S-Y-U</dc:creator>
  <cp:keywords/>
  <dc:description/>
  <cp:lastModifiedBy>user</cp:lastModifiedBy>
  <cp:revision>2</cp:revision>
  <dcterms:created xsi:type="dcterms:W3CDTF">2019-11-01T08:14:00Z</dcterms:created>
  <dcterms:modified xsi:type="dcterms:W3CDTF">2019-11-01T08:14:00Z</dcterms:modified>
</cp:coreProperties>
</file>