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F9" w:rsidRDefault="008853F9" w:rsidP="0040537C">
      <w:pPr>
        <w:ind w:firstLine="360"/>
        <w:jc w:val="both"/>
        <w:rPr>
          <w:rFonts w:ascii="Arial" w:hAnsi="Arial" w:cs="Arial"/>
          <w:color w:val="FF0000"/>
          <w:shd w:val="clear" w:color="auto" w:fill="FFFFFF"/>
        </w:rPr>
      </w:pPr>
    </w:p>
    <w:p w:rsidR="0040537C" w:rsidRPr="008853F9" w:rsidRDefault="0040537C" w:rsidP="0040537C">
      <w:pPr>
        <w:ind w:firstLine="360"/>
        <w:jc w:val="both"/>
        <w:rPr>
          <w:rFonts w:ascii="Arial" w:hAnsi="Arial" w:cs="Arial"/>
          <w:shd w:val="clear" w:color="auto" w:fill="FFFFFF"/>
        </w:rPr>
      </w:pPr>
      <w:r w:rsidRPr="00D709D0">
        <w:rPr>
          <w:rFonts w:ascii="Arial" w:hAnsi="Arial" w:cs="Arial"/>
          <w:b/>
          <w:shd w:val="clear" w:color="auto" w:fill="FFFFFF"/>
        </w:rPr>
        <w:t>Razlozi za donošenje novog Zakona o zaštiti okoliša Federacije BiH</w:t>
      </w:r>
      <w:r w:rsidRPr="008853F9">
        <w:rPr>
          <w:rFonts w:ascii="Arial" w:hAnsi="Arial" w:cs="Arial"/>
          <w:shd w:val="clear" w:color="auto" w:fill="FFFFFF"/>
        </w:rPr>
        <w:t xml:space="preserve"> su mnogobrojni, a jedan od najvažnijih je stvaranje institucionalnog okvira za provođenje zakona usklađenog sa zahtjevima EU, što je glavni cilj i Strategije usklađivanja propisa pravnoj stečevini EU u oblasti zaštite okoliša/životne sredine Bosne i Hercegovine (EAS – BIH) i Sporazuma o stabilizaciji i pridruživanju. U okviru </w:t>
      </w:r>
      <w:r w:rsidRPr="008853F9">
        <w:rPr>
          <w:rFonts w:ascii="Arial" w:hAnsi="Arial" w:cs="Arial"/>
        </w:rPr>
        <w:t>projekta pod nazivom "Monitoring napretka usklađenosti okolinske legislative u zemljama Jugoistočne Evrope sa legislativom Evropske Unije", utvrđeno je da je postojeći Zakon o zaštiti okoliša Federacije BiH samo djelimično usklađen pravnim propisima EU iz oblasti okoliša.</w:t>
      </w:r>
    </w:p>
    <w:p w:rsidR="0040537C" w:rsidRPr="008853F9" w:rsidRDefault="0040537C" w:rsidP="0040537C">
      <w:pPr>
        <w:pStyle w:val="NoSpacing"/>
        <w:ind w:firstLine="360"/>
        <w:jc w:val="both"/>
        <w:rPr>
          <w:rFonts w:ascii="Arial" w:hAnsi="Arial" w:cs="Arial"/>
          <w:sz w:val="24"/>
          <w:szCs w:val="24"/>
        </w:rPr>
      </w:pPr>
      <w:r w:rsidRPr="008853F9">
        <w:rPr>
          <w:rFonts w:ascii="Arial" w:hAnsi="Arial" w:cs="Arial"/>
          <w:sz w:val="24"/>
          <w:szCs w:val="24"/>
        </w:rPr>
        <w:t xml:space="preserve">Kašnjenje novog Zakona o zaštiti okoliša usporilo je procese transpozicije i aprosimacije EU pravne stečevine u domaću regulativu. </w:t>
      </w:r>
      <w:r w:rsidRPr="008853F9">
        <w:rPr>
          <w:rFonts w:ascii="Arial" w:eastAsia="Times New Roman" w:hAnsi="Arial" w:cs="Arial"/>
          <w:sz w:val="24"/>
          <w:szCs w:val="24"/>
          <w:shd w:val="clear" w:color="auto" w:fill="FFFFFF"/>
        </w:rPr>
        <w:t>To implicira skrivene ekonomske troškove za društvo u cjelini i na taj način nekompatibilno je sa osnovnim pretpostavkama održivog razvoja.</w:t>
      </w:r>
    </w:p>
    <w:p w:rsidR="0040537C" w:rsidRPr="008853F9" w:rsidRDefault="0040537C" w:rsidP="0040537C">
      <w:pPr>
        <w:pStyle w:val="NoSpacing"/>
        <w:jc w:val="both"/>
        <w:rPr>
          <w:rFonts w:ascii="Arial" w:hAnsi="Arial" w:cs="Arial"/>
          <w:sz w:val="24"/>
          <w:szCs w:val="24"/>
        </w:rPr>
      </w:pPr>
    </w:p>
    <w:p w:rsidR="0040537C" w:rsidRPr="008853F9" w:rsidRDefault="0040537C" w:rsidP="0040537C">
      <w:pPr>
        <w:pStyle w:val="NoSpacing"/>
        <w:jc w:val="both"/>
        <w:rPr>
          <w:rFonts w:ascii="Arial" w:hAnsi="Arial" w:cs="Arial"/>
          <w:sz w:val="24"/>
          <w:szCs w:val="24"/>
        </w:rPr>
      </w:pPr>
      <w:r w:rsidRPr="008853F9">
        <w:rPr>
          <w:rFonts w:ascii="Arial" w:hAnsi="Arial" w:cs="Arial"/>
          <w:b/>
          <w:sz w:val="24"/>
          <w:szCs w:val="24"/>
        </w:rPr>
        <w:t>Ključni razlozi za donošenje novog Zakona o zaštiti okoliša Federacije BiH</w:t>
      </w:r>
    </w:p>
    <w:p w:rsidR="0040537C" w:rsidRPr="008853F9" w:rsidRDefault="0040537C" w:rsidP="0040537C">
      <w:pPr>
        <w:pStyle w:val="NoSpacing"/>
        <w:jc w:val="both"/>
        <w:rPr>
          <w:rFonts w:ascii="Arial" w:hAnsi="Arial" w:cs="Arial"/>
          <w:b/>
          <w:sz w:val="24"/>
          <w:szCs w:val="24"/>
        </w:rPr>
      </w:pPr>
    </w:p>
    <w:p w:rsidR="0040537C" w:rsidRPr="008853F9" w:rsidRDefault="0040537C" w:rsidP="0040537C">
      <w:pPr>
        <w:jc w:val="both"/>
        <w:rPr>
          <w:rFonts w:ascii="Arial" w:hAnsi="Arial" w:cs="Arial"/>
        </w:rPr>
      </w:pPr>
      <w:r w:rsidRPr="008853F9">
        <w:rPr>
          <w:rFonts w:ascii="Arial" w:hAnsi="Arial" w:cs="Arial"/>
        </w:rPr>
        <w:t>Novi Zakon o zaštiti okoliša donije</w:t>
      </w:r>
      <w:r w:rsidR="00F66C56">
        <w:rPr>
          <w:rFonts w:ascii="Arial" w:hAnsi="Arial" w:cs="Arial"/>
        </w:rPr>
        <w:t>t će</w:t>
      </w:r>
      <w:r w:rsidRPr="008853F9">
        <w:rPr>
          <w:rFonts w:ascii="Arial" w:hAnsi="Arial" w:cs="Arial"/>
        </w:rPr>
        <w:t xml:space="preserve"> sl</w:t>
      </w:r>
      <w:r w:rsidR="00F66C56">
        <w:rPr>
          <w:rFonts w:ascii="Arial" w:hAnsi="Arial" w:cs="Arial"/>
        </w:rPr>
        <w:t>ij</w:t>
      </w:r>
      <w:r w:rsidRPr="008853F9">
        <w:rPr>
          <w:rFonts w:ascii="Arial" w:hAnsi="Arial" w:cs="Arial"/>
        </w:rPr>
        <w:t xml:space="preserve">edeće </w:t>
      </w:r>
      <w:r w:rsidRPr="008853F9">
        <w:rPr>
          <w:rFonts w:ascii="Arial" w:hAnsi="Arial" w:cs="Arial"/>
          <w:b/>
        </w:rPr>
        <w:t>olakšice</w:t>
      </w:r>
      <w:r w:rsidRPr="008853F9">
        <w:rPr>
          <w:rFonts w:ascii="Arial" w:hAnsi="Arial" w:cs="Arial"/>
        </w:rPr>
        <w:t xml:space="preserve"> za investitore:</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kraći rokovi za donošenja odluka i rješenja,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brže određivanje nadležnosti za postupanje,</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jasnije i jednostavnije procedure pribavljanja rješenja i dozvola,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za određeni dio novih projekata provodiće se procedura procjene uticaja na okoliš (obnovljivi izvori energije, dalekovodi, infrastrukturni projekti (autoceste, ceste, željeznice), turistički objekti), koja će završavati izdavanjem rješenja nakon kojeg nema potrebe podnositi zahtjev za izdavanje okolinske dozvole i obnove okolišne dozvole nakon njihovog puštanja u rad (nepotrebne procedure u FMOiT),</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jasno definisana procedura obnove okolišne dozvole za industrijska postrojenja.</w:t>
      </w:r>
    </w:p>
    <w:p w:rsidR="0040537C" w:rsidRPr="008853F9" w:rsidRDefault="0040537C" w:rsidP="0040537C">
      <w:pPr>
        <w:ind w:firstLine="360"/>
        <w:jc w:val="both"/>
        <w:rPr>
          <w:rFonts w:ascii="Arial" w:hAnsi="Arial" w:cs="Arial"/>
        </w:rPr>
      </w:pPr>
      <w:r w:rsidRPr="008853F9">
        <w:rPr>
          <w:rFonts w:ascii="Arial" w:hAnsi="Arial" w:cs="Arial"/>
        </w:rPr>
        <w:t xml:space="preserve">Poboljšanja u pogledu </w:t>
      </w:r>
      <w:r w:rsidRPr="008853F9">
        <w:rPr>
          <w:rFonts w:ascii="Arial" w:hAnsi="Arial" w:cs="Arial"/>
          <w:b/>
        </w:rPr>
        <w:t>integralne zaštite komponenti okoliša</w:t>
      </w:r>
      <w:r w:rsidRPr="008853F9">
        <w:rPr>
          <w:rFonts w:ascii="Arial" w:hAnsi="Arial" w:cs="Arial"/>
        </w:rPr>
        <w:t xml:space="preserve"> (biodiverziteta, očuvanje tla, zaštita voda, zaštita zraka, očuvanje i korištenje biosfere, očuvanje izgrađenog okoliša, zaštita od štetnih uticaja opasnih supstanci  i tehnologija, zaštita od štetnog uticaja otpada, zaštita od buke, zaštita od štetnih radijacijskih i svjetlosnih uticaja) su:</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jačanje pravnih mjera za očuvanje, zaštitu i poboljšanje zaštite okoliša,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 xml:space="preserve">definisane i razgraničene procedure: </w:t>
      </w:r>
    </w:p>
    <w:p w:rsidR="0040537C" w:rsidRPr="008853F9" w:rsidRDefault="0040537C" w:rsidP="0040537C">
      <w:pPr>
        <w:pStyle w:val="ListParagraph"/>
        <w:numPr>
          <w:ilvl w:val="0"/>
          <w:numId w:val="2"/>
        </w:numPr>
        <w:spacing w:after="160" w:line="259" w:lineRule="auto"/>
        <w:ind w:firstLine="414"/>
        <w:jc w:val="both"/>
        <w:rPr>
          <w:rFonts w:ascii="Arial" w:hAnsi="Arial" w:cs="Arial"/>
          <w:sz w:val="24"/>
          <w:szCs w:val="24"/>
        </w:rPr>
      </w:pPr>
      <w:r w:rsidRPr="008853F9">
        <w:rPr>
          <w:rFonts w:ascii="Arial" w:hAnsi="Arial" w:cs="Arial"/>
          <w:sz w:val="24"/>
          <w:szCs w:val="24"/>
        </w:rPr>
        <w:t xml:space="preserve">prethodne procjene uticaja na okoliš, </w:t>
      </w:r>
    </w:p>
    <w:p w:rsidR="0040537C" w:rsidRPr="008853F9" w:rsidRDefault="0040537C" w:rsidP="0040537C">
      <w:pPr>
        <w:pStyle w:val="ListParagraph"/>
        <w:numPr>
          <w:ilvl w:val="0"/>
          <w:numId w:val="2"/>
        </w:numPr>
        <w:spacing w:after="160" w:line="259" w:lineRule="auto"/>
        <w:ind w:firstLine="414"/>
        <w:jc w:val="both"/>
        <w:rPr>
          <w:rFonts w:ascii="Arial" w:hAnsi="Arial" w:cs="Arial"/>
          <w:sz w:val="24"/>
          <w:szCs w:val="24"/>
        </w:rPr>
      </w:pPr>
      <w:r w:rsidRPr="008853F9">
        <w:rPr>
          <w:rFonts w:ascii="Arial" w:hAnsi="Arial" w:cs="Arial"/>
          <w:sz w:val="24"/>
          <w:szCs w:val="24"/>
        </w:rPr>
        <w:t>procjene uticaja na okoliš ,</w:t>
      </w:r>
    </w:p>
    <w:p w:rsidR="0040537C" w:rsidRPr="008853F9" w:rsidRDefault="0040537C" w:rsidP="0040537C">
      <w:pPr>
        <w:pStyle w:val="ListParagraph"/>
        <w:numPr>
          <w:ilvl w:val="0"/>
          <w:numId w:val="2"/>
        </w:numPr>
        <w:spacing w:after="160" w:line="259" w:lineRule="auto"/>
        <w:ind w:firstLine="414"/>
        <w:jc w:val="both"/>
        <w:rPr>
          <w:rFonts w:ascii="Arial" w:hAnsi="Arial" w:cs="Arial"/>
          <w:sz w:val="24"/>
          <w:szCs w:val="24"/>
        </w:rPr>
      </w:pPr>
      <w:r w:rsidRPr="008853F9">
        <w:rPr>
          <w:rFonts w:ascii="Arial" w:hAnsi="Arial" w:cs="Arial"/>
          <w:sz w:val="24"/>
          <w:szCs w:val="24"/>
        </w:rPr>
        <w:t>izdavanje okolišne dozvole za industrijska postrojenja,</w:t>
      </w:r>
    </w:p>
    <w:p w:rsidR="0040537C" w:rsidRPr="008853F9" w:rsidRDefault="0040537C" w:rsidP="0040537C">
      <w:pPr>
        <w:pStyle w:val="ListParagraph"/>
        <w:numPr>
          <w:ilvl w:val="0"/>
          <w:numId w:val="2"/>
        </w:numPr>
        <w:spacing w:after="160" w:line="259" w:lineRule="auto"/>
        <w:ind w:firstLine="414"/>
        <w:jc w:val="both"/>
        <w:rPr>
          <w:rFonts w:ascii="Arial" w:hAnsi="Arial" w:cs="Arial"/>
          <w:sz w:val="24"/>
          <w:szCs w:val="24"/>
        </w:rPr>
      </w:pPr>
      <w:r w:rsidRPr="008853F9">
        <w:rPr>
          <w:rFonts w:ascii="Arial" w:hAnsi="Arial" w:cs="Arial"/>
          <w:sz w:val="24"/>
          <w:szCs w:val="24"/>
        </w:rPr>
        <w:t xml:space="preserve">izdavane dozvole za postrojenja koja koja skladište opasne materije i koje mogu </w:t>
      </w:r>
    </w:p>
    <w:p w:rsidR="0040537C" w:rsidRPr="008853F9" w:rsidRDefault="0040537C" w:rsidP="0040537C">
      <w:pPr>
        <w:pStyle w:val="ListParagraph"/>
        <w:ind w:left="1134"/>
        <w:jc w:val="both"/>
        <w:rPr>
          <w:rFonts w:ascii="Arial" w:hAnsi="Arial" w:cs="Arial"/>
          <w:sz w:val="24"/>
          <w:szCs w:val="24"/>
        </w:rPr>
      </w:pPr>
      <w:r w:rsidRPr="008853F9">
        <w:rPr>
          <w:rFonts w:ascii="Arial" w:hAnsi="Arial" w:cs="Arial"/>
          <w:sz w:val="24"/>
          <w:szCs w:val="24"/>
        </w:rPr>
        <w:t xml:space="preserve">    dovesti do nesreća većih razmjera,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učestaliji inspekcijski nadzor u industrijskim postojenjima koji zahtijevaju prevenciju i kontrolu zagađenja,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ažurnije prikupljanje podataka o postrojenjima i zagađivanjima,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sveobuhvatnije učešće javnosti u pitanjima okoliša, informisanje i uključivanje javnosti u proces donošenja odluka i osiguranje prava na pristup pravosuđu,</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lastRenderedPageBreak/>
        <w:t>integrisano prikupnjanje podataka o okolišu svih nadležnih institucija (Agencija za vodna područja, Federalnog hidrometeorološki zavoda, Federalnog zavoda za agropedologiju, Fonda za zaštitu okoliša Federacije BiH, Federalnog zavoda za statistiku, Federalnog zavoda za geologiju i drugih federalnih upravnih organizacija i kantona)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unaprijeđenje okoliša kroz razvoj naučnih i tehnoloških rješenja,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osiguranja stručnog obrazovanja o okolišu,</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podizanje svijesti javnosti u području zaštite okoliša,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uspostava informacionog sistema stanja okoliša i pristup informacijama,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uspostava praćenja stanja okoliša, promjene stanja okoliša te zajedničke procjene uz primjenu socijalnih i ekonomskih pokazatelja i sa stajališta uticaja na zdravlje stanovništva,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 xml:space="preserve">kvalitetnije izvještavanje o stanju okoliša u cilju planiranja zaštite okoliša, </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 xml:space="preserve">rad međuentiteskog tijela za okoliš, </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ažurno vođenje registra o postrojenjima i zagađivanjima, registra o izdatim okolišnim dozvolama i registra o nesrećama većih razmjera,</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odgovornost za štetu nanesenu u okolišu i djelatnosti opasne po okoliš,</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 xml:space="preserve">financiranje i instrumente opće politike zaštite okoliša, </w:t>
      </w:r>
    </w:p>
    <w:p w:rsidR="0040537C" w:rsidRPr="008853F9" w:rsidRDefault="0040537C" w:rsidP="0040537C">
      <w:pPr>
        <w:pStyle w:val="ListParagraph"/>
        <w:numPr>
          <w:ilvl w:val="0"/>
          <w:numId w:val="2"/>
        </w:numPr>
        <w:spacing w:after="160" w:line="259" w:lineRule="auto"/>
        <w:jc w:val="both"/>
        <w:rPr>
          <w:rFonts w:ascii="Arial" w:hAnsi="Arial" w:cs="Arial"/>
          <w:sz w:val="24"/>
          <w:szCs w:val="24"/>
        </w:rPr>
      </w:pPr>
      <w:r w:rsidRPr="008853F9">
        <w:rPr>
          <w:rFonts w:ascii="Arial" w:hAnsi="Arial" w:cs="Arial"/>
          <w:sz w:val="24"/>
          <w:szCs w:val="24"/>
        </w:rPr>
        <w:t>skraćeni rokovi za dostavljanje podataka nadležnim ministarstvima i upravnim organima i načini redovnog obavještavanja javnosti, javni pristup podacima,</w:t>
      </w:r>
    </w:p>
    <w:p w:rsidR="0040537C" w:rsidRPr="008853F9" w:rsidRDefault="0040537C" w:rsidP="0040537C">
      <w:pPr>
        <w:pStyle w:val="ListParagraph"/>
        <w:numPr>
          <w:ilvl w:val="0"/>
          <w:numId w:val="2"/>
        </w:numPr>
        <w:spacing w:after="0" w:line="240" w:lineRule="auto"/>
        <w:jc w:val="both"/>
        <w:rPr>
          <w:rFonts w:ascii="Arial" w:hAnsi="Arial" w:cs="Arial"/>
          <w:sz w:val="24"/>
          <w:szCs w:val="24"/>
        </w:rPr>
      </w:pPr>
      <w:r w:rsidRPr="008853F9">
        <w:rPr>
          <w:rFonts w:ascii="Arial" w:hAnsi="Arial" w:cs="Arial"/>
          <w:sz w:val="24"/>
          <w:szCs w:val="24"/>
        </w:rPr>
        <w:t>strožije kazne za prekršioce odredbi zakona.</w:t>
      </w:r>
    </w:p>
    <w:p w:rsidR="0040537C" w:rsidRPr="008853F9" w:rsidRDefault="0040537C" w:rsidP="0040537C">
      <w:pPr>
        <w:jc w:val="both"/>
        <w:rPr>
          <w:rFonts w:ascii="Arial" w:hAnsi="Arial" w:cs="Arial"/>
        </w:rPr>
      </w:pPr>
    </w:p>
    <w:p w:rsidR="0040537C" w:rsidRPr="008853F9" w:rsidRDefault="0040537C" w:rsidP="0040537C">
      <w:pPr>
        <w:jc w:val="both"/>
        <w:rPr>
          <w:rFonts w:ascii="Arial" w:hAnsi="Arial" w:cs="Arial"/>
        </w:rPr>
      </w:pPr>
      <w:r w:rsidRPr="008853F9">
        <w:rPr>
          <w:rFonts w:ascii="Arial" w:hAnsi="Arial" w:cs="Arial"/>
        </w:rPr>
        <w:t xml:space="preserve">Koristi za </w:t>
      </w:r>
      <w:r w:rsidRPr="008853F9">
        <w:rPr>
          <w:rFonts w:ascii="Arial" w:hAnsi="Arial" w:cs="Arial"/>
          <w:b/>
        </w:rPr>
        <w:t>Federaciju BiH</w:t>
      </w:r>
      <w:r w:rsidRPr="008853F9">
        <w:rPr>
          <w:rFonts w:ascii="Arial" w:hAnsi="Arial" w:cs="Arial"/>
        </w:rPr>
        <w:t xml:space="preserve"> i šire:</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poboljšanje kvaliteta života,</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zdravstvene koristi uštedom u liječenju bolesti izazvanih zagađenjem i smanjenje preuranjenog mortaliteta,</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 xml:space="preserve">racionalno korištenje prirodnih resursa, </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uštede resursa</w:t>
      </w:r>
      <w:r w:rsidR="008853F9">
        <w:rPr>
          <w:rFonts w:ascii="Arial" w:hAnsi="Arial" w:cs="Arial"/>
          <w:sz w:val="24"/>
          <w:szCs w:val="24"/>
        </w:rPr>
        <w:t>,</w:t>
      </w:r>
      <w:r w:rsidRPr="008853F9">
        <w:rPr>
          <w:rFonts w:ascii="Arial" w:hAnsi="Arial" w:cs="Arial"/>
          <w:sz w:val="24"/>
          <w:szCs w:val="24"/>
        </w:rPr>
        <w:t xml:space="preserve"> naročito u vodosnabdijevanju, korištenju energije (energijska efikasnost), goriva, i sirovina, upravljanja otpadom, otpadnim vodama, šumarstvu, poljoprivredi, </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očuvanja prirodnog i kulturnog naslijeđa, rekreativnih mogućnosti i povezanosti društva,</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 xml:space="preserve">rast zapošljavanja kroz investicije u okoliš u cilju redukcije zagađenja, </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 xml:space="preserve">povećano privlačenje investicija i međunarodnih fondova, </w:t>
      </w:r>
    </w:p>
    <w:p w:rsidR="0040537C" w:rsidRPr="008853F9" w:rsidRDefault="0040537C" w:rsidP="0040537C">
      <w:pPr>
        <w:pStyle w:val="ListParagraph"/>
        <w:numPr>
          <w:ilvl w:val="0"/>
          <w:numId w:val="1"/>
        </w:numPr>
        <w:spacing w:after="160" w:line="259" w:lineRule="auto"/>
        <w:jc w:val="both"/>
        <w:rPr>
          <w:rFonts w:ascii="Arial" w:hAnsi="Arial" w:cs="Arial"/>
          <w:sz w:val="24"/>
          <w:szCs w:val="24"/>
        </w:rPr>
      </w:pPr>
      <w:r w:rsidRPr="008853F9">
        <w:rPr>
          <w:rFonts w:ascii="Arial" w:hAnsi="Arial" w:cs="Arial"/>
          <w:sz w:val="24"/>
          <w:szCs w:val="24"/>
        </w:rPr>
        <w:t>razvoj turizma i eko turizma.</w:t>
      </w:r>
    </w:p>
    <w:p w:rsidR="0040537C" w:rsidRPr="008853F9" w:rsidRDefault="0040537C" w:rsidP="0040537C">
      <w:pPr>
        <w:ind w:firstLine="360"/>
        <w:jc w:val="both"/>
        <w:rPr>
          <w:rFonts w:ascii="Arial" w:hAnsi="Arial" w:cs="Arial"/>
          <w:shd w:val="clear" w:color="auto" w:fill="FFFFFF"/>
        </w:rPr>
      </w:pPr>
      <w:r w:rsidRPr="008853F9">
        <w:rPr>
          <w:rFonts w:ascii="Arial" w:hAnsi="Arial" w:cs="Arial"/>
          <w:shd w:val="clear" w:color="auto" w:fill="FFFFFF"/>
        </w:rPr>
        <w:t xml:space="preserve">Donošenje novog ZoZO je od izuzetnog  interesa za Federaciju Bosne i Hercegovine, </w:t>
      </w:r>
      <w:r w:rsidR="00344D29">
        <w:rPr>
          <w:rFonts w:ascii="Arial" w:hAnsi="Arial" w:cs="Arial"/>
          <w:shd w:val="clear" w:color="auto" w:fill="FFFFFF"/>
        </w:rPr>
        <w:t>k</w:t>
      </w:r>
      <w:r w:rsidRPr="008853F9">
        <w:rPr>
          <w:rFonts w:ascii="Arial" w:hAnsi="Arial" w:cs="Arial"/>
          <w:shd w:val="clear" w:color="auto" w:fill="FFFFFF"/>
        </w:rPr>
        <w:t>antone u Federaciji BiH, jedinice lokalne samouprave (</w:t>
      </w:r>
      <w:r w:rsidR="00344D29">
        <w:rPr>
          <w:rFonts w:ascii="Arial" w:hAnsi="Arial" w:cs="Arial"/>
          <w:shd w:val="clear" w:color="auto" w:fill="FFFFFF"/>
        </w:rPr>
        <w:t>g</w:t>
      </w:r>
      <w:r w:rsidRPr="008853F9">
        <w:rPr>
          <w:rFonts w:ascii="Arial" w:hAnsi="Arial" w:cs="Arial"/>
          <w:shd w:val="clear" w:color="auto" w:fill="FFFFFF"/>
        </w:rPr>
        <w:t>radove i općine), cjelokupnu javnost (fizičke i pravne osobe i njihove asocijacije) i privredne subjekte u smislu stvaranja ambijenta za održivi razvoj bosanskohercegovačkog društva i šire. Osnovni/k</w:t>
      </w:r>
      <w:r w:rsidRPr="008853F9">
        <w:rPr>
          <w:rFonts w:ascii="Arial" w:hAnsi="Arial" w:cs="Arial"/>
        </w:rPr>
        <w:t>ljučni planski i programski dokumenti održivog razvoja u oblasti zaštite okoliša u Federaciji BiH potvrđeni kroz sistem okolinskog planiranja (čl.44): Strategija razvoja BiH i Federacije BiH, Federalna strategija zaštite okoliša i Akcijski plan zaštite okoliša,Kantonalni plan zaštite okoliša okoliša sa pripadajućim implementacionim dokumentima,Planovi razvoja jedinica lokalne samouprave, uključujući njihove implementacione dokumente, kao i drugi planski i programski dokumenti u skladu sa posebnim federalnim propisom koji definiše razvojno planiranje i upravljanje razvojem.</w:t>
      </w:r>
    </w:p>
    <w:p w:rsidR="0040537C" w:rsidRPr="008853F9" w:rsidRDefault="0040537C" w:rsidP="0040537C">
      <w:pPr>
        <w:pStyle w:val="NormalWeb"/>
        <w:shd w:val="clear" w:color="auto" w:fill="FFFFFF"/>
        <w:spacing w:before="0" w:beforeAutospacing="0" w:after="150" w:afterAutospacing="0"/>
        <w:ind w:firstLine="435"/>
        <w:jc w:val="both"/>
        <w:rPr>
          <w:rFonts w:ascii="Arial" w:hAnsi="Arial" w:cs="Arial"/>
        </w:rPr>
      </w:pPr>
      <w:r w:rsidRPr="008853F9">
        <w:rPr>
          <w:rFonts w:ascii="Arial" w:hAnsi="Arial" w:cs="Arial"/>
        </w:rPr>
        <w:lastRenderedPageBreak/>
        <w:t xml:space="preserve">Novi </w:t>
      </w:r>
      <w:proofErr w:type="spellStart"/>
      <w:r w:rsidRPr="008853F9">
        <w:rPr>
          <w:rFonts w:ascii="Arial" w:hAnsi="Arial" w:cs="Arial"/>
        </w:rPr>
        <w:t>Zakon</w:t>
      </w:r>
      <w:proofErr w:type="spellEnd"/>
      <w:r w:rsidRPr="008853F9">
        <w:rPr>
          <w:rFonts w:ascii="Arial" w:hAnsi="Arial" w:cs="Arial"/>
        </w:rPr>
        <w:t xml:space="preserve"> o </w:t>
      </w:r>
      <w:proofErr w:type="spellStart"/>
      <w:r w:rsidRPr="008853F9">
        <w:rPr>
          <w:rFonts w:ascii="Arial" w:hAnsi="Arial" w:cs="Arial"/>
        </w:rPr>
        <w:t>zaštitiokoliša</w:t>
      </w:r>
      <w:proofErr w:type="spellEnd"/>
      <w:r w:rsidRPr="008853F9">
        <w:rPr>
          <w:rFonts w:ascii="Arial" w:hAnsi="Arial" w:cs="Arial"/>
        </w:rPr>
        <w:t xml:space="preserve"> se </w:t>
      </w:r>
      <w:proofErr w:type="spellStart"/>
      <w:r w:rsidRPr="008853F9">
        <w:rPr>
          <w:rFonts w:ascii="Arial" w:hAnsi="Arial" w:cs="Arial"/>
        </w:rPr>
        <w:t>zasnivanadirektivamaEvropskeunije</w:t>
      </w:r>
      <w:proofErr w:type="spellEnd"/>
      <w:r w:rsidRPr="008853F9">
        <w:rPr>
          <w:rFonts w:ascii="Arial" w:hAnsi="Arial" w:cs="Arial"/>
        </w:rPr>
        <w:t xml:space="preserve"> </w:t>
      </w:r>
      <w:proofErr w:type="spellStart"/>
      <w:r w:rsidRPr="008853F9">
        <w:rPr>
          <w:rFonts w:ascii="Arial" w:hAnsi="Arial" w:cs="Arial"/>
        </w:rPr>
        <w:t>i</w:t>
      </w:r>
      <w:proofErr w:type="spellEnd"/>
      <w:r w:rsidRPr="008853F9">
        <w:rPr>
          <w:rFonts w:ascii="Arial" w:hAnsi="Arial" w:cs="Arial"/>
        </w:rPr>
        <w:t xml:space="preserve"> </w:t>
      </w:r>
      <w:proofErr w:type="spellStart"/>
      <w:r w:rsidRPr="008853F9">
        <w:rPr>
          <w:rFonts w:ascii="Arial" w:hAnsi="Arial" w:cs="Arial"/>
        </w:rPr>
        <w:t>međunarodnimkonvencijama</w:t>
      </w:r>
      <w:proofErr w:type="spellEnd"/>
      <w:r w:rsidRPr="008853F9">
        <w:rPr>
          <w:rFonts w:ascii="Arial" w:hAnsi="Arial" w:cs="Arial"/>
        </w:rPr>
        <w:t xml:space="preserve">, a u </w:t>
      </w:r>
      <w:proofErr w:type="spellStart"/>
      <w:r w:rsidRPr="008853F9">
        <w:rPr>
          <w:rFonts w:ascii="Arial" w:hAnsi="Arial" w:cs="Arial"/>
        </w:rPr>
        <w:t>njegasu</w:t>
      </w:r>
      <w:proofErr w:type="spellEnd"/>
      <w:r w:rsidRPr="008853F9">
        <w:rPr>
          <w:rFonts w:ascii="Arial" w:hAnsi="Arial" w:cs="Arial"/>
        </w:rPr>
        <w:t xml:space="preserve"> u </w:t>
      </w:r>
      <w:proofErr w:type="spellStart"/>
      <w:r w:rsidRPr="008853F9">
        <w:rPr>
          <w:rFonts w:ascii="Arial" w:hAnsi="Arial" w:cs="Arial"/>
        </w:rPr>
        <w:t>potpunostiilinajvećimdijelomugrađeneodredbečetiri</w:t>
      </w:r>
      <w:proofErr w:type="spellEnd"/>
      <w:r w:rsidRPr="008853F9">
        <w:rPr>
          <w:rFonts w:ascii="Arial" w:hAnsi="Arial" w:cs="Arial"/>
        </w:rPr>
        <w:t xml:space="preserve"> EU </w:t>
      </w:r>
      <w:proofErr w:type="spellStart"/>
      <w:r w:rsidRPr="008853F9">
        <w:rPr>
          <w:rFonts w:ascii="Arial" w:hAnsi="Arial" w:cs="Arial"/>
        </w:rPr>
        <w:t>direktive</w:t>
      </w:r>
      <w:proofErr w:type="spellEnd"/>
      <w:r w:rsidRPr="008853F9">
        <w:rPr>
          <w:rFonts w:ascii="Arial" w:hAnsi="Arial" w:cs="Arial"/>
        </w:rPr>
        <w:t xml:space="preserve"> </w:t>
      </w:r>
      <w:proofErr w:type="spellStart"/>
      <w:r w:rsidRPr="008853F9">
        <w:rPr>
          <w:rFonts w:ascii="Arial" w:hAnsi="Arial" w:cs="Arial"/>
        </w:rPr>
        <w:t>i</w:t>
      </w:r>
      <w:proofErr w:type="spellEnd"/>
      <w:r w:rsidRPr="008853F9">
        <w:rPr>
          <w:rFonts w:ascii="Arial" w:hAnsi="Arial" w:cs="Arial"/>
        </w:rPr>
        <w:t xml:space="preserve"> </w:t>
      </w:r>
      <w:proofErr w:type="spellStart"/>
      <w:r w:rsidRPr="008853F9">
        <w:rPr>
          <w:rFonts w:ascii="Arial" w:hAnsi="Arial" w:cs="Arial"/>
        </w:rPr>
        <w:t>jedneuredbe</w:t>
      </w:r>
      <w:proofErr w:type="spellEnd"/>
      <w:r w:rsidRPr="008853F9">
        <w:rPr>
          <w:rFonts w:ascii="Arial" w:hAnsi="Arial" w:cs="Arial"/>
        </w:rPr>
        <w:t xml:space="preserve">, </w:t>
      </w:r>
      <w:proofErr w:type="spellStart"/>
      <w:r w:rsidRPr="008853F9">
        <w:rPr>
          <w:rFonts w:ascii="Arial" w:hAnsi="Arial" w:cs="Arial"/>
        </w:rPr>
        <w:t>štopreds</w:t>
      </w:r>
      <w:r w:rsidR="00344D29">
        <w:rPr>
          <w:rFonts w:ascii="Arial" w:hAnsi="Arial" w:cs="Arial"/>
        </w:rPr>
        <w:t>tavljarespektabilannivousklađ</w:t>
      </w:r>
      <w:r w:rsidRPr="008853F9">
        <w:rPr>
          <w:rFonts w:ascii="Arial" w:hAnsi="Arial" w:cs="Arial"/>
        </w:rPr>
        <w:t>enostiovogzakona</w:t>
      </w:r>
      <w:proofErr w:type="spellEnd"/>
      <w:r w:rsidRPr="008853F9">
        <w:rPr>
          <w:rFonts w:ascii="Arial" w:hAnsi="Arial" w:cs="Arial"/>
        </w:rPr>
        <w:t xml:space="preserve"> s </w:t>
      </w:r>
      <w:proofErr w:type="spellStart"/>
      <w:r w:rsidRPr="008853F9">
        <w:rPr>
          <w:rFonts w:ascii="Arial" w:hAnsi="Arial" w:cs="Arial"/>
        </w:rPr>
        <w:t>propisima</w:t>
      </w:r>
      <w:proofErr w:type="spellEnd"/>
      <w:r w:rsidRPr="008853F9">
        <w:rPr>
          <w:rFonts w:ascii="Arial" w:hAnsi="Arial" w:cs="Arial"/>
        </w:rPr>
        <w:t xml:space="preserve"> EU:</w:t>
      </w:r>
    </w:p>
    <w:p w:rsidR="0040537C" w:rsidRPr="008853F9" w:rsidRDefault="0040537C" w:rsidP="0040537C">
      <w:pPr>
        <w:pStyle w:val="ListParagraph"/>
        <w:numPr>
          <w:ilvl w:val="0"/>
          <w:numId w:val="3"/>
        </w:numPr>
        <w:spacing w:after="0" w:line="240" w:lineRule="auto"/>
        <w:jc w:val="both"/>
        <w:rPr>
          <w:rFonts w:ascii="Arial" w:eastAsia="Times New Roman" w:hAnsi="Arial" w:cs="Arial"/>
          <w:sz w:val="24"/>
          <w:szCs w:val="24"/>
          <w:lang w:eastAsia="hr-HR"/>
        </w:rPr>
      </w:pPr>
      <w:r w:rsidRPr="008853F9">
        <w:rPr>
          <w:rFonts w:ascii="Arial" w:eastAsia="Times New Roman" w:hAnsi="Arial" w:cs="Arial"/>
          <w:sz w:val="24"/>
          <w:szCs w:val="24"/>
          <w:lang w:eastAsia="hr-HR"/>
        </w:rPr>
        <w:t>SEA direktiva – ( engl. The Strategic Environmental Assessment ) - Stateška procjena uticaja na okoliš.</w:t>
      </w:r>
    </w:p>
    <w:p w:rsidR="0040537C" w:rsidRPr="008853F9" w:rsidRDefault="0040537C" w:rsidP="0040537C">
      <w:pPr>
        <w:pStyle w:val="ListParagraph"/>
        <w:numPr>
          <w:ilvl w:val="0"/>
          <w:numId w:val="3"/>
        </w:numPr>
        <w:spacing w:after="0" w:line="240" w:lineRule="auto"/>
        <w:jc w:val="both"/>
        <w:rPr>
          <w:rFonts w:ascii="Arial" w:eastAsia="Times New Roman" w:hAnsi="Arial" w:cs="Arial"/>
          <w:sz w:val="24"/>
          <w:szCs w:val="24"/>
          <w:lang w:eastAsia="hr-HR"/>
        </w:rPr>
      </w:pPr>
      <w:r w:rsidRPr="008853F9">
        <w:rPr>
          <w:rFonts w:ascii="Arial" w:eastAsia="Times New Roman" w:hAnsi="Arial" w:cs="Arial"/>
          <w:sz w:val="24"/>
          <w:szCs w:val="24"/>
          <w:lang w:eastAsia="hr-HR"/>
        </w:rPr>
        <w:t>EIA direktiva  - (engl. The Environmental Impact Assessment)- Direktiva o procjeni uticaja na okoliš.</w:t>
      </w:r>
    </w:p>
    <w:p w:rsidR="0040537C" w:rsidRPr="008853F9" w:rsidRDefault="0040537C" w:rsidP="0040537C">
      <w:pPr>
        <w:pStyle w:val="ListParagraph"/>
        <w:numPr>
          <w:ilvl w:val="0"/>
          <w:numId w:val="3"/>
        </w:numPr>
        <w:spacing w:after="0" w:line="240" w:lineRule="auto"/>
        <w:jc w:val="both"/>
        <w:rPr>
          <w:rFonts w:ascii="Arial" w:eastAsia="Times New Roman" w:hAnsi="Arial" w:cs="Arial"/>
          <w:sz w:val="24"/>
          <w:szCs w:val="24"/>
          <w:lang w:eastAsia="hr-HR"/>
        </w:rPr>
      </w:pPr>
      <w:r w:rsidRPr="008853F9">
        <w:rPr>
          <w:rFonts w:ascii="Arial" w:eastAsia="Times New Roman" w:hAnsi="Arial" w:cs="Arial"/>
          <w:sz w:val="24"/>
          <w:szCs w:val="24"/>
          <w:lang w:eastAsia="hr-HR"/>
        </w:rPr>
        <w:t>IED direktiva – (engl.  the Industrial Emissions Directive ) - Direktiva o industrijskim emisijama.</w:t>
      </w:r>
    </w:p>
    <w:p w:rsidR="0040537C" w:rsidRPr="008853F9" w:rsidRDefault="0040537C" w:rsidP="0040537C">
      <w:pPr>
        <w:pStyle w:val="ListParagraph"/>
        <w:numPr>
          <w:ilvl w:val="0"/>
          <w:numId w:val="3"/>
        </w:numPr>
        <w:spacing w:after="0" w:line="240" w:lineRule="auto"/>
        <w:jc w:val="both"/>
        <w:rPr>
          <w:rFonts w:ascii="Arial" w:eastAsia="Times New Roman" w:hAnsi="Arial" w:cs="Arial"/>
          <w:sz w:val="24"/>
          <w:szCs w:val="24"/>
          <w:lang w:eastAsia="hr-HR"/>
        </w:rPr>
      </w:pPr>
      <w:r w:rsidRPr="008853F9">
        <w:rPr>
          <w:rFonts w:ascii="Arial" w:eastAsia="Times New Roman" w:hAnsi="Arial" w:cs="Arial"/>
          <w:sz w:val="24"/>
          <w:szCs w:val="24"/>
          <w:lang w:eastAsia="hr-HR"/>
        </w:rPr>
        <w:t>SEVESO III direktiva – (engl. The Seveso-III-Directive) - Direktiva za prevenciju većih nesreća.</w:t>
      </w:r>
    </w:p>
    <w:p w:rsidR="0040537C" w:rsidRPr="008853F9" w:rsidRDefault="0040537C" w:rsidP="0040537C">
      <w:pPr>
        <w:pStyle w:val="ListParagraph"/>
        <w:numPr>
          <w:ilvl w:val="0"/>
          <w:numId w:val="3"/>
        </w:numPr>
        <w:spacing w:after="0" w:line="240" w:lineRule="auto"/>
        <w:jc w:val="both"/>
        <w:rPr>
          <w:rFonts w:ascii="Arial" w:eastAsia="Times New Roman" w:hAnsi="Arial" w:cs="Arial"/>
          <w:sz w:val="24"/>
          <w:szCs w:val="24"/>
          <w:lang w:eastAsia="hr-HR"/>
        </w:rPr>
      </w:pPr>
      <w:r w:rsidRPr="008853F9">
        <w:rPr>
          <w:rFonts w:ascii="Arial" w:eastAsia="Times New Roman" w:hAnsi="Arial" w:cs="Arial"/>
          <w:sz w:val="24"/>
          <w:szCs w:val="24"/>
          <w:lang w:eastAsia="hr-HR"/>
        </w:rPr>
        <w:t xml:space="preserve">EMAS (engl. </w:t>
      </w:r>
      <w:r w:rsidRPr="008853F9">
        <w:rPr>
          <w:rFonts w:ascii="Arial" w:eastAsia="Times New Roman" w:hAnsi="Arial" w:cs="Arial"/>
          <w:bCs/>
          <w:sz w:val="24"/>
          <w:szCs w:val="24"/>
          <w:lang w:eastAsia="hr-HR"/>
        </w:rPr>
        <w:t>The EU Eco-Management and Audit Scheme)</w:t>
      </w:r>
      <w:r w:rsidRPr="008853F9">
        <w:rPr>
          <w:rFonts w:ascii="Arial" w:eastAsia="Times New Roman" w:hAnsi="Arial" w:cs="Arial"/>
          <w:sz w:val="24"/>
          <w:szCs w:val="24"/>
          <w:lang w:eastAsia="hr-HR"/>
        </w:rPr>
        <w:t xml:space="preserve"> – Uredba EU o sistemu  eko-označavanja i sistema okolinskog upravljanja i nezavisnog ocjenjivanja.</w:t>
      </w:r>
    </w:p>
    <w:p w:rsidR="0040537C" w:rsidRPr="008853F9" w:rsidRDefault="0040537C" w:rsidP="0040537C">
      <w:pPr>
        <w:spacing w:line="276" w:lineRule="auto"/>
        <w:jc w:val="both"/>
        <w:rPr>
          <w:rFonts w:ascii="Arial" w:eastAsia="Arial" w:hAnsi="Arial" w:cs="Arial"/>
          <w:lang w:val="bs-Latn-BA" w:eastAsia="bs-Latn-BA"/>
        </w:rPr>
      </w:pPr>
    </w:p>
    <w:p w:rsidR="0040537C" w:rsidRPr="008853F9" w:rsidRDefault="0040537C" w:rsidP="0040537C">
      <w:pPr>
        <w:jc w:val="both"/>
        <w:rPr>
          <w:rFonts w:ascii="Arial" w:hAnsi="Arial" w:cs="Arial"/>
          <w:b/>
          <w:shd w:val="clear" w:color="auto" w:fill="FFFFFF"/>
        </w:rPr>
      </w:pPr>
      <w:r w:rsidRPr="008853F9">
        <w:rPr>
          <w:rFonts w:ascii="Arial" w:hAnsi="Arial" w:cs="Arial"/>
          <w:b/>
          <w:shd w:val="clear" w:color="auto" w:fill="FFFFFF"/>
        </w:rPr>
        <w:t>Propisi  koje je neophodno donijeti u roku od godinu dana od dana stupanja na snagu novog Zakona o zaštiti okoliša su:</w:t>
      </w:r>
    </w:p>
    <w:p w:rsidR="0040537C" w:rsidRPr="008853F9" w:rsidRDefault="0040537C" w:rsidP="0040537C">
      <w:pPr>
        <w:jc w:val="both"/>
        <w:rPr>
          <w:rFonts w:ascii="Arial" w:hAnsi="Arial" w:cs="Arial"/>
          <w:shd w:val="clear" w:color="auto" w:fill="FFFFFF"/>
        </w:rPr>
      </w:pPr>
      <w:r w:rsidRPr="008853F9">
        <w:rPr>
          <w:rFonts w:ascii="Arial" w:hAnsi="Arial" w:cs="Arial"/>
          <w:b/>
          <w:shd w:val="clear" w:color="auto" w:fill="FFFFFF"/>
        </w:rPr>
        <w:t>Propisi koje donosi Vlada Federacije BiH</w:t>
      </w:r>
    </w:p>
    <w:p w:rsidR="0040537C" w:rsidRPr="008853F9" w:rsidRDefault="0040537C" w:rsidP="0040537C">
      <w:pPr>
        <w:pStyle w:val="ListParagraph"/>
        <w:numPr>
          <w:ilvl w:val="0"/>
          <w:numId w:val="5"/>
        </w:numPr>
        <w:spacing w:after="0" w:line="240" w:lineRule="auto"/>
        <w:jc w:val="both"/>
        <w:rPr>
          <w:rFonts w:ascii="Arial" w:eastAsia="Times New Roman" w:hAnsi="Arial" w:cs="Arial"/>
          <w:sz w:val="24"/>
          <w:szCs w:val="24"/>
          <w:shd w:val="clear" w:color="auto" w:fill="FFFFFF"/>
        </w:rPr>
      </w:pPr>
      <w:r w:rsidRPr="008853F9">
        <w:rPr>
          <w:rFonts w:ascii="Arial" w:eastAsia="Times New Roman" w:hAnsi="Arial" w:cs="Arial"/>
          <w:sz w:val="24"/>
          <w:szCs w:val="24"/>
          <w:lang w:eastAsia="hr-HR"/>
        </w:rPr>
        <w:t xml:space="preserve">Propis  vezano za uspostavu </w:t>
      </w:r>
      <w:r w:rsidRPr="008853F9">
        <w:rPr>
          <w:rFonts w:ascii="Arial" w:eastAsia="Times New Roman" w:hAnsi="Arial" w:cs="Arial"/>
          <w:bCs/>
          <w:sz w:val="24"/>
          <w:szCs w:val="24"/>
          <w:lang w:eastAsia="hr-HR"/>
        </w:rPr>
        <w:t>Sistema informiranja o okolišu i prikupljanje informacija</w:t>
      </w:r>
      <w:r w:rsidRPr="008853F9">
        <w:rPr>
          <w:rFonts w:ascii="Arial" w:eastAsia="Times New Roman" w:hAnsi="Arial" w:cs="Arial"/>
          <w:sz w:val="24"/>
          <w:szCs w:val="24"/>
          <w:lang w:eastAsia="hr-HR"/>
        </w:rPr>
        <w:t xml:space="preserve"> (vrsta podataka, način i rokovi za prikupljanja podataka i informisanja o okolišu) (čl. 28.)</w:t>
      </w:r>
    </w:p>
    <w:p w:rsidR="0040537C" w:rsidRPr="008853F9" w:rsidRDefault="0040537C" w:rsidP="0040537C">
      <w:pPr>
        <w:pStyle w:val="ListParagraph"/>
        <w:numPr>
          <w:ilvl w:val="0"/>
          <w:numId w:val="5"/>
        </w:numPr>
        <w:spacing w:after="0" w:line="240" w:lineRule="auto"/>
        <w:jc w:val="both"/>
        <w:rPr>
          <w:rFonts w:ascii="Arial" w:eastAsia="Times New Roman" w:hAnsi="Arial" w:cs="Arial"/>
          <w:sz w:val="24"/>
          <w:szCs w:val="24"/>
          <w:shd w:val="clear" w:color="auto" w:fill="FFFFFF"/>
        </w:rPr>
      </w:pPr>
      <w:r w:rsidRPr="008853F9">
        <w:rPr>
          <w:rFonts w:ascii="Arial" w:hAnsi="Arial" w:cs="Arial"/>
          <w:sz w:val="24"/>
          <w:szCs w:val="24"/>
        </w:rPr>
        <w:t>Utvrđivanje obima, sadržaja i ocjene strateške studije (čl.52.).</w:t>
      </w:r>
    </w:p>
    <w:p w:rsidR="0040537C" w:rsidRPr="008853F9" w:rsidRDefault="0040537C" w:rsidP="0040537C">
      <w:pPr>
        <w:pStyle w:val="ListParagraph"/>
        <w:numPr>
          <w:ilvl w:val="0"/>
          <w:numId w:val="5"/>
        </w:numPr>
        <w:spacing w:after="0" w:line="240" w:lineRule="auto"/>
        <w:jc w:val="both"/>
        <w:rPr>
          <w:rFonts w:ascii="Arial" w:eastAsia="Times New Roman" w:hAnsi="Arial" w:cs="Arial"/>
          <w:sz w:val="24"/>
          <w:szCs w:val="24"/>
          <w:shd w:val="clear" w:color="auto" w:fill="FFFFFF"/>
          <w:lang w:eastAsia="hr-HR"/>
        </w:rPr>
      </w:pPr>
      <w:r w:rsidRPr="008853F9">
        <w:rPr>
          <w:rFonts w:ascii="Arial" w:eastAsia="Times New Roman" w:hAnsi="Arial" w:cs="Arial"/>
          <w:sz w:val="24"/>
          <w:szCs w:val="24"/>
          <w:lang w:eastAsia="hr-HR"/>
        </w:rPr>
        <w:t xml:space="preserve">Postupanja koja se odnose na prekogranični i međuentitetski uticaj na okoliš susjednih država, </w:t>
      </w:r>
      <w:r w:rsidR="00344D29">
        <w:rPr>
          <w:rFonts w:ascii="Arial" w:eastAsia="Times New Roman" w:hAnsi="Arial" w:cs="Arial"/>
          <w:sz w:val="24"/>
          <w:szCs w:val="24"/>
          <w:lang w:eastAsia="hr-HR"/>
        </w:rPr>
        <w:t>entiteta -</w:t>
      </w:r>
      <w:r w:rsidRPr="008853F9">
        <w:rPr>
          <w:rFonts w:ascii="Arial" w:eastAsia="Times New Roman" w:hAnsi="Arial" w:cs="Arial"/>
          <w:sz w:val="24"/>
          <w:szCs w:val="24"/>
          <w:lang w:eastAsia="hr-HR"/>
        </w:rPr>
        <w:t>Republike Srpske i/ili Brčko Distrikta BiH (čl. 81.)</w:t>
      </w:r>
    </w:p>
    <w:p w:rsidR="0040537C" w:rsidRPr="008853F9" w:rsidRDefault="0040537C" w:rsidP="0040537C">
      <w:pPr>
        <w:contextualSpacing/>
        <w:jc w:val="both"/>
        <w:rPr>
          <w:rFonts w:ascii="Arial" w:hAnsi="Arial" w:cs="Arial"/>
        </w:rPr>
      </w:pPr>
    </w:p>
    <w:p w:rsidR="0040537C" w:rsidRPr="008853F9" w:rsidRDefault="0040537C" w:rsidP="0040537C">
      <w:pPr>
        <w:contextualSpacing/>
        <w:jc w:val="both"/>
        <w:rPr>
          <w:rFonts w:ascii="Arial" w:hAnsi="Arial" w:cs="Arial"/>
        </w:rPr>
      </w:pPr>
    </w:p>
    <w:p w:rsidR="0040537C" w:rsidRPr="008853F9" w:rsidRDefault="0040537C" w:rsidP="0040537C">
      <w:pPr>
        <w:contextualSpacing/>
        <w:jc w:val="both"/>
        <w:rPr>
          <w:rFonts w:ascii="Arial" w:hAnsi="Arial" w:cs="Arial"/>
          <w:b/>
          <w:shd w:val="clear" w:color="auto" w:fill="FFFFFF"/>
        </w:rPr>
      </w:pPr>
      <w:r w:rsidRPr="008853F9">
        <w:rPr>
          <w:rFonts w:ascii="Arial" w:hAnsi="Arial" w:cs="Arial"/>
          <w:b/>
          <w:shd w:val="clear" w:color="auto" w:fill="FFFFFF"/>
        </w:rPr>
        <w:t xml:space="preserve">Propisi koje donosi Federalno ministarstvo okoliša i turizma </w:t>
      </w:r>
    </w:p>
    <w:p w:rsidR="0040537C" w:rsidRPr="008853F9" w:rsidRDefault="0040537C" w:rsidP="0040537C">
      <w:pPr>
        <w:contextualSpacing/>
        <w:jc w:val="both"/>
        <w:rPr>
          <w:rFonts w:ascii="Arial" w:hAnsi="Arial" w:cs="Arial"/>
          <w:b/>
          <w:shd w:val="clear" w:color="auto" w:fill="FFFFFF"/>
        </w:rPr>
      </w:pPr>
    </w:p>
    <w:p w:rsidR="0040537C" w:rsidRPr="008853F9" w:rsidRDefault="0040537C" w:rsidP="0040537C">
      <w:pPr>
        <w:contextualSpacing/>
        <w:jc w:val="both"/>
        <w:rPr>
          <w:rFonts w:ascii="Arial" w:hAnsi="Arial" w:cs="Arial"/>
          <w:b/>
          <w:shd w:val="clear" w:color="auto" w:fill="FFFFFF"/>
        </w:rPr>
      </w:pPr>
      <w:r w:rsidRPr="008853F9">
        <w:rPr>
          <w:rFonts w:ascii="Arial" w:hAnsi="Arial" w:cs="Arial"/>
        </w:rPr>
        <w:t>Federalni ministar donosi propise iz čl. 34., 68., 73., 74., 78., 83., 100., 101., 102., 111.,123., 124., i 129. ovog zakona u roku od jedne godine od stupanja na snagu ovog Zakona.</w:t>
      </w:r>
    </w:p>
    <w:p w:rsidR="0040537C" w:rsidRPr="008853F9" w:rsidRDefault="0040537C" w:rsidP="0040537C">
      <w:pPr>
        <w:contextualSpacing/>
        <w:jc w:val="both"/>
        <w:rPr>
          <w:rFonts w:ascii="Arial" w:hAnsi="Arial" w:cs="Arial"/>
          <w:b/>
          <w:shd w:val="clear" w:color="auto" w:fill="FFFFFF"/>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sz w:val="24"/>
          <w:szCs w:val="24"/>
          <w:lang w:eastAsia="hr-HR"/>
        </w:rPr>
        <w:t>Propis  kojim se utvrđuje vrsta podataka, način i rokovi za njihovo dostavljanje i izvještavanje za registar o postrojenjima i zagađivanjima (čl. 34.)</w:t>
      </w:r>
    </w:p>
    <w:p w:rsidR="0040537C" w:rsidRPr="008853F9" w:rsidRDefault="0040537C" w:rsidP="0040537C">
      <w:pPr>
        <w:pStyle w:val="ListParagraph"/>
        <w:spacing w:after="0" w:line="240" w:lineRule="auto"/>
        <w:jc w:val="both"/>
        <w:rPr>
          <w:rFonts w:ascii="Arial" w:eastAsia="Times New Roman" w:hAnsi="Arial" w:cs="Arial"/>
          <w:b/>
          <w:sz w:val="24"/>
          <w:szCs w:val="24"/>
          <w:shd w:val="clear" w:color="auto" w:fill="FFFFFF"/>
          <w:lang w:eastAsia="hr-HR"/>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sz w:val="24"/>
          <w:szCs w:val="24"/>
          <w:lang w:eastAsia="hr-HR"/>
        </w:rPr>
        <w:t>Propis kojim se određuju:</w:t>
      </w:r>
    </w:p>
    <w:p w:rsidR="0040537C" w:rsidRPr="008853F9" w:rsidRDefault="0040537C" w:rsidP="0040537C">
      <w:pPr>
        <w:numPr>
          <w:ilvl w:val="0"/>
          <w:numId w:val="6"/>
        </w:numPr>
        <w:jc w:val="both"/>
        <w:rPr>
          <w:rFonts w:ascii="Arial" w:hAnsi="Arial" w:cs="Arial"/>
        </w:rPr>
      </w:pPr>
      <w:r w:rsidRPr="008853F9">
        <w:rPr>
          <w:rFonts w:ascii="Arial" w:hAnsi="Arial" w:cs="Arial"/>
        </w:rPr>
        <w:t>projekti za koje se obavezno provodi procjena uticaja i</w:t>
      </w:r>
    </w:p>
    <w:p w:rsidR="0040537C" w:rsidRPr="008853F9" w:rsidRDefault="0040537C" w:rsidP="0040537C">
      <w:pPr>
        <w:numPr>
          <w:ilvl w:val="0"/>
          <w:numId w:val="6"/>
        </w:numPr>
        <w:ind w:left="924" w:hanging="357"/>
        <w:jc w:val="both"/>
        <w:rPr>
          <w:rFonts w:ascii="Arial" w:hAnsi="Arial" w:cs="Arial"/>
        </w:rPr>
      </w:pPr>
      <w:r w:rsidRPr="008853F9">
        <w:rPr>
          <w:rFonts w:ascii="Arial" w:hAnsi="Arial" w:cs="Arial"/>
        </w:rPr>
        <w:t>projekti za koje o obavezi provođenja procjene uticaja odlučuje nadležno ministarstvo na osnovu kriterija u pojedinim slučajevima o obavezi provođenja procjene uticaja i o obimu procjene uticaja. (čl. 68)</w:t>
      </w:r>
    </w:p>
    <w:p w:rsidR="0040537C" w:rsidRPr="008853F9" w:rsidRDefault="0040537C" w:rsidP="0040537C">
      <w:pPr>
        <w:ind w:left="924"/>
        <w:jc w:val="both"/>
        <w:rPr>
          <w:rFonts w:ascii="Arial" w:hAnsi="Arial" w:cs="Arial"/>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sz w:val="24"/>
          <w:szCs w:val="24"/>
          <w:lang w:eastAsia="hr-HR"/>
        </w:rPr>
      </w:pPr>
      <w:r w:rsidRPr="008853F9">
        <w:rPr>
          <w:rFonts w:ascii="Arial" w:eastAsia="Times New Roman" w:hAnsi="Arial" w:cs="Arial"/>
          <w:sz w:val="24"/>
          <w:szCs w:val="24"/>
          <w:lang w:val="pl-PL" w:eastAsia="hr-HR"/>
        </w:rPr>
        <w:t>Propi</w:t>
      </w:r>
      <w:r w:rsidRPr="008853F9">
        <w:rPr>
          <w:rFonts w:ascii="Arial" w:eastAsia="Times New Roman" w:hAnsi="Arial" w:cs="Arial"/>
          <w:sz w:val="24"/>
          <w:szCs w:val="24"/>
          <w:lang w:val="hr-BA" w:eastAsia="hr-HR"/>
        </w:rPr>
        <w:t>s kojim se</w:t>
      </w:r>
      <w:r w:rsidRPr="008853F9">
        <w:rPr>
          <w:rFonts w:ascii="Arial" w:eastAsia="Times New Roman" w:hAnsi="Arial" w:cs="Arial"/>
          <w:sz w:val="24"/>
          <w:szCs w:val="24"/>
          <w:lang w:val="pl-PL" w:eastAsia="hr-HR"/>
        </w:rPr>
        <w:t xml:space="preserve"> utvrđuju uslovi za</w:t>
      </w:r>
      <w:r w:rsidRPr="008853F9">
        <w:rPr>
          <w:rFonts w:ascii="Arial" w:eastAsia="Times New Roman" w:hAnsi="Arial" w:cs="Arial"/>
          <w:sz w:val="24"/>
          <w:szCs w:val="24"/>
          <w:lang w:val="hr-BA" w:eastAsia="hr-HR"/>
        </w:rPr>
        <w:t>:</w:t>
      </w:r>
    </w:p>
    <w:p w:rsidR="0040537C" w:rsidRPr="008853F9" w:rsidRDefault="0040537C" w:rsidP="0040537C">
      <w:pPr>
        <w:ind w:firstLine="708"/>
        <w:jc w:val="both"/>
        <w:rPr>
          <w:rFonts w:ascii="Arial" w:hAnsi="Arial" w:cs="Arial"/>
          <w:lang w:val="hr-BA"/>
        </w:rPr>
      </w:pPr>
      <w:r w:rsidRPr="008853F9">
        <w:rPr>
          <w:rFonts w:ascii="Arial" w:hAnsi="Arial" w:cs="Arial"/>
          <w:lang w:val="hr-BA"/>
        </w:rPr>
        <w:t xml:space="preserve">a) davanje ovlaštenja nosiocima izrade Studije, </w:t>
      </w:r>
    </w:p>
    <w:p w:rsidR="0040537C" w:rsidRPr="008853F9" w:rsidRDefault="0040537C" w:rsidP="0040537C">
      <w:pPr>
        <w:ind w:firstLine="708"/>
        <w:jc w:val="both"/>
        <w:rPr>
          <w:rFonts w:ascii="Arial" w:hAnsi="Arial" w:cs="Arial"/>
        </w:rPr>
      </w:pPr>
      <w:r w:rsidRPr="008853F9">
        <w:rPr>
          <w:rFonts w:ascii="Arial" w:hAnsi="Arial" w:cs="Arial"/>
          <w:lang w:val="hr-BA"/>
        </w:rPr>
        <w:t xml:space="preserve">b) </w:t>
      </w:r>
      <w:r w:rsidRPr="008853F9">
        <w:rPr>
          <w:rFonts w:ascii="Arial" w:hAnsi="Arial" w:cs="Arial"/>
          <w:lang w:val="bs-Cyrl-BA"/>
        </w:rPr>
        <w:t>način</w:t>
      </w:r>
      <w:r w:rsidRPr="008853F9">
        <w:rPr>
          <w:rFonts w:ascii="Arial" w:hAnsi="Arial" w:cs="Arial"/>
        </w:rPr>
        <w:t xml:space="preserve"> i kriterije koje moraju ispunjavati nosioci izrade Studije,</w:t>
      </w:r>
    </w:p>
    <w:p w:rsidR="0040537C" w:rsidRPr="008853F9" w:rsidRDefault="0040537C" w:rsidP="0040537C">
      <w:pPr>
        <w:ind w:firstLine="708"/>
        <w:jc w:val="both"/>
        <w:rPr>
          <w:rFonts w:ascii="Arial" w:hAnsi="Arial" w:cs="Arial"/>
        </w:rPr>
      </w:pPr>
      <w:r w:rsidRPr="008853F9">
        <w:rPr>
          <w:rFonts w:ascii="Arial" w:hAnsi="Arial" w:cs="Arial"/>
        </w:rPr>
        <w:t>c) visinu naknade za troškove izdavanja ovlaštenja nosiocima izrade Studija. (čl. 73)</w:t>
      </w:r>
    </w:p>
    <w:p w:rsidR="0040537C" w:rsidRPr="008853F9" w:rsidRDefault="0040537C" w:rsidP="0040537C">
      <w:pPr>
        <w:ind w:firstLine="708"/>
        <w:jc w:val="both"/>
        <w:rPr>
          <w:rFonts w:ascii="Arial" w:hAnsi="Arial" w:cs="Arial"/>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sz w:val="24"/>
          <w:szCs w:val="24"/>
          <w:lang w:eastAsia="hr-HR"/>
        </w:rPr>
        <w:t>Propis kojim se utvrđuje sadržaj Studije o procjeni uticaja na okoliš. (čl. 74.)</w:t>
      </w:r>
    </w:p>
    <w:p w:rsidR="0040537C" w:rsidRPr="008853F9" w:rsidRDefault="0040537C" w:rsidP="0040537C">
      <w:pPr>
        <w:pStyle w:val="ListParagraph"/>
        <w:spacing w:after="0" w:line="240" w:lineRule="auto"/>
        <w:jc w:val="both"/>
        <w:rPr>
          <w:rFonts w:ascii="Arial" w:eastAsia="Times New Roman" w:hAnsi="Arial" w:cs="Arial"/>
          <w:b/>
          <w:sz w:val="24"/>
          <w:szCs w:val="24"/>
          <w:shd w:val="clear" w:color="auto" w:fill="FFFFFF"/>
          <w:lang w:eastAsia="hr-HR"/>
        </w:rPr>
      </w:pPr>
    </w:p>
    <w:p w:rsidR="0040537C" w:rsidRPr="008853F9" w:rsidRDefault="0040537C" w:rsidP="0040537C">
      <w:pPr>
        <w:numPr>
          <w:ilvl w:val="0"/>
          <w:numId w:val="4"/>
        </w:numPr>
        <w:jc w:val="both"/>
        <w:rPr>
          <w:rFonts w:ascii="Arial" w:hAnsi="Arial" w:cs="Arial"/>
        </w:rPr>
      </w:pPr>
      <w:r w:rsidRPr="008853F9">
        <w:rPr>
          <w:rFonts w:ascii="Arial" w:hAnsi="Arial" w:cs="Arial"/>
        </w:rPr>
        <w:lastRenderedPageBreak/>
        <w:t>Provedbeni propis kojim se uređuje sastav komisije, naknade kao i druga pitanja vezana za rad stručne komisije za ocjenu Studije o procjeni uticaja na okoliš. (čl. 78)</w:t>
      </w:r>
    </w:p>
    <w:p w:rsidR="0040537C" w:rsidRPr="008853F9" w:rsidRDefault="0040537C" w:rsidP="0040537C">
      <w:pPr>
        <w:jc w:val="both"/>
        <w:rPr>
          <w:rFonts w:ascii="Arial" w:hAnsi="Arial" w:cs="Arial"/>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noProof/>
          <w:spacing w:val="-1"/>
          <w:sz w:val="24"/>
          <w:szCs w:val="24"/>
          <w:lang/>
        </w:rPr>
        <w:t>Propis kojim utvrđuje pogoni</w:t>
      </w:r>
      <w:r w:rsidRPr="008853F9">
        <w:rPr>
          <w:rFonts w:ascii="Arial" w:eastAsia="Times New Roman" w:hAnsi="Arial" w:cs="Arial"/>
          <w:noProof/>
          <w:sz w:val="24"/>
          <w:szCs w:val="24"/>
          <w:lang/>
        </w:rPr>
        <w:t>ipostrojenja</w:t>
      </w:r>
      <w:r w:rsidRPr="008853F9">
        <w:rPr>
          <w:rFonts w:ascii="Arial" w:eastAsia="Times New Roman" w:hAnsi="Arial" w:cs="Arial"/>
          <w:noProof/>
          <w:spacing w:val="-2"/>
          <w:sz w:val="24"/>
          <w:szCs w:val="24"/>
          <w:lang/>
        </w:rPr>
        <w:t>koji</w:t>
      </w:r>
      <w:r w:rsidRPr="008853F9">
        <w:rPr>
          <w:rFonts w:ascii="Arial" w:eastAsia="Times New Roman" w:hAnsi="Arial" w:cs="Arial"/>
          <w:noProof/>
          <w:spacing w:val="-1"/>
          <w:sz w:val="24"/>
          <w:szCs w:val="24"/>
          <w:lang/>
        </w:rPr>
        <w:t>mogu</w:t>
      </w:r>
      <w:r w:rsidRPr="008853F9">
        <w:rPr>
          <w:rFonts w:ascii="Arial" w:eastAsia="Times New Roman" w:hAnsi="Arial" w:cs="Arial"/>
          <w:noProof/>
          <w:sz w:val="24"/>
          <w:szCs w:val="24"/>
          <w:lang/>
        </w:rPr>
        <w:t>biti</w:t>
      </w:r>
      <w:r w:rsidRPr="008853F9">
        <w:rPr>
          <w:rFonts w:ascii="Arial" w:eastAsia="Times New Roman" w:hAnsi="Arial" w:cs="Arial"/>
          <w:noProof/>
          <w:spacing w:val="-1"/>
          <w:sz w:val="24"/>
          <w:szCs w:val="24"/>
          <w:lang/>
        </w:rPr>
        <w:t>izgrađeni</w:t>
      </w:r>
      <w:r w:rsidRPr="008853F9">
        <w:rPr>
          <w:rFonts w:ascii="Arial" w:eastAsia="Times New Roman" w:hAnsi="Arial" w:cs="Arial"/>
          <w:noProof/>
          <w:sz w:val="24"/>
          <w:szCs w:val="24"/>
          <w:lang/>
        </w:rPr>
        <w:t>i</w:t>
      </w:r>
      <w:r w:rsidRPr="008853F9">
        <w:rPr>
          <w:rFonts w:ascii="Arial" w:eastAsia="Times New Roman" w:hAnsi="Arial" w:cs="Arial"/>
          <w:noProof/>
          <w:spacing w:val="-1"/>
          <w:sz w:val="24"/>
          <w:szCs w:val="24"/>
          <w:lang/>
        </w:rPr>
        <w:t>pušteni</w:t>
      </w:r>
      <w:r w:rsidRPr="008853F9">
        <w:rPr>
          <w:rFonts w:ascii="Arial" w:eastAsia="Times New Roman" w:hAnsi="Arial" w:cs="Arial"/>
          <w:noProof/>
          <w:sz w:val="24"/>
          <w:szCs w:val="24"/>
          <w:lang/>
        </w:rPr>
        <w:t>u</w:t>
      </w:r>
      <w:r w:rsidRPr="008853F9">
        <w:rPr>
          <w:rFonts w:ascii="Arial" w:eastAsia="Times New Roman" w:hAnsi="Arial" w:cs="Arial"/>
          <w:noProof/>
          <w:spacing w:val="-1"/>
          <w:sz w:val="24"/>
          <w:szCs w:val="24"/>
          <w:lang/>
        </w:rPr>
        <w:t>radsamoukoliko</w:t>
      </w:r>
      <w:r w:rsidRPr="008853F9">
        <w:rPr>
          <w:rFonts w:ascii="Arial" w:eastAsia="Times New Roman" w:hAnsi="Arial" w:cs="Arial"/>
          <w:noProof/>
          <w:sz w:val="24"/>
          <w:szCs w:val="24"/>
          <w:lang/>
        </w:rPr>
        <w:t>imajuokolinsku</w:t>
      </w:r>
      <w:r w:rsidRPr="008853F9">
        <w:rPr>
          <w:rFonts w:ascii="Arial" w:eastAsia="Times New Roman" w:hAnsi="Arial" w:cs="Arial"/>
          <w:noProof/>
          <w:spacing w:val="-1"/>
          <w:sz w:val="24"/>
          <w:szCs w:val="24"/>
          <w:lang/>
        </w:rPr>
        <w:t>dozvolu. (čl. 83)</w:t>
      </w:r>
    </w:p>
    <w:p w:rsidR="0040537C" w:rsidRPr="008853F9" w:rsidRDefault="0040537C" w:rsidP="0040537C">
      <w:pPr>
        <w:jc w:val="both"/>
        <w:rPr>
          <w:rFonts w:ascii="Arial" w:hAnsi="Arial" w:cs="Arial"/>
          <w:b/>
          <w:shd w:val="clear" w:color="auto" w:fill="FFFFFF"/>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iCs/>
          <w:noProof/>
          <w:sz w:val="24"/>
          <w:szCs w:val="24"/>
          <w:lang/>
        </w:rPr>
        <w:t>Propis kojim se definišu djelatnosti za koje se utvrđuju najbolje raspoložive tehnike, odnos sa referentnim dokumentima za najbolje raspoložive tehnike. (čl, 100.)</w:t>
      </w:r>
    </w:p>
    <w:p w:rsidR="0040537C" w:rsidRPr="008853F9" w:rsidRDefault="0040537C" w:rsidP="0040537C">
      <w:pPr>
        <w:jc w:val="both"/>
        <w:rPr>
          <w:rFonts w:ascii="Arial" w:hAnsi="Arial" w:cs="Arial"/>
          <w:b/>
          <w:shd w:val="clear" w:color="auto" w:fill="FFFFFF"/>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noProof/>
          <w:sz w:val="24"/>
          <w:szCs w:val="24"/>
          <w:lang/>
        </w:rPr>
        <w:t>Propis kojim utvrđuje sadržaj i način vođenja Registra izdatih okolinskih dozvola (čl. 101.)</w:t>
      </w:r>
    </w:p>
    <w:p w:rsidR="0040537C" w:rsidRPr="008853F9" w:rsidRDefault="0040537C" w:rsidP="0040537C">
      <w:pPr>
        <w:pStyle w:val="ListParagraph"/>
        <w:spacing w:after="0" w:line="240" w:lineRule="auto"/>
        <w:jc w:val="both"/>
        <w:rPr>
          <w:rFonts w:ascii="Arial" w:eastAsia="Times New Roman" w:hAnsi="Arial" w:cs="Arial"/>
          <w:b/>
          <w:sz w:val="24"/>
          <w:szCs w:val="24"/>
          <w:shd w:val="clear" w:color="auto" w:fill="FFFFFF"/>
          <w:lang w:eastAsia="hr-HR"/>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noProof/>
          <w:sz w:val="24"/>
          <w:szCs w:val="24"/>
          <w:lang/>
        </w:rPr>
        <w:t xml:space="preserve">Propis za </w:t>
      </w:r>
      <w:r w:rsidRPr="008853F9">
        <w:rPr>
          <w:rFonts w:ascii="Arial" w:eastAsia="Times New Roman" w:hAnsi="Arial" w:cs="Arial"/>
          <w:sz w:val="24"/>
          <w:szCs w:val="24"/>
          <w:lang w:eastAsia="hr-HR"/>
        </w:rPr>
        <w:t>pogone i postrojenja, uključujući skladišta opasnih supstanci koji mogu izazvati nesreće većih razmjera (čl. 102.)</w:t>
      </w:r>
    </w:p>
    <w:p w:rsidR="0040537C" w:rsidRPr="008853F9" w:rsidRDefault="0040537C" w:rsidP="0040537C">
      <w:pPr>
        <w:jc w:val="both"/>
        <w:rPr>
          <w:rFonts w:ascii="Arial" w:hAnsi="Arial" w:cs="Arial"/>
          <w:b/>
          <w:shd w:val="clear" w:color="auto" w:fill="FFFFFF"/>
        </w:rPr>
      </w:pPr>
    </w:p>
    <w:p w:rsidR="0040537C" w:rsidRPr="008853F9" w:rsidRDefault="0040537C" w:rsidP="0040537C">
      <w:pPr>
        <w:widowControl w:val="0"/>
        <w:numPr>
          <w:ilvl w:val="0"/>
          <w:numId w:val="4"/>
        </w:numPr>
        <w:ind w:right="113"/>
        <w:jc w:val="both"/>
        <w:rPr>
          <w:rFonts w:ascii="Arial" w:hAnsi="Arial" w:cs="Arial"/>
          <w:noProof/>
          <w:lang/>
        </w:rPr>
      </w:pPr>
      <w:r w:rsidRPr="008853F9">
        <w:rPr>
          <w:rFonts w:ascii="Arial" w:hAnsi="Arial" w:cs="Arial"/>
          <w:noProof/>
          <w:lang/>
        </w:rPr>
        <w:t xml:space="preserve"> Propis kojim</w:t>
      </w:r>
      <w:r w:rsidRPr="008853F9">
        <w:rPr>
          <w:rFonts w:ascii="Arial" w:hAnsi="Arial" w:cs="Arial"/>
          <w:noProof/>
          <w:lang/>
        </w:rPr>
        <w:t xml:space="preserve">se </w:t>
      </w:r>
      <w:r w:rsidRPr="008853F9">
        <w:rPr>
          <w:rFonts w:ascii="Arial" w:hAnsi="Arial" w:cs="Arial"/>
          <w:noProof/>
          <w:lang/>
        </w:rPr>
        <w:t xml:space="preserve"> utvrđuje sadržaj i način vođenja Registra nesreća većih razmjera.</w:t>
      </w:r>
      <w:r w:rsidRPr="008853F9">
        <w:rPr>
          <w:rFonts w:ascii="Arial" w:hAnsi="Arial" w:cs="Arial"/>
          <w:noProof/>
          <w:lang/>
        </w:rPr>
        <w:t xml:space="preserve"> (čl. 111.)</w:t>
      </w:r>
    </w:p>
    <w:p w:rsidR="0040537C" w:rsidRPr="008853F9" w:rsidRDefault="0040537C" w:rsidP="0040537C">
      <w:pPr>
        <w:widowControl w:val="0"/>
        <w:ind w:left="720" w:right="113"/>
        <w:jc w:val="both"/>
        <w:rPr>
          <w:rFonts w:ascii="Arial" w:hAnsi="Arial" w:cs="Arial"/>
          <w:noProof/>
          <w:lang/>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sz w:val="24"/>
          <w:szCs w:val="24"/>
          <w:lang w:eastAsia="hr-HR"/>
        </w:rPr>
        <w:t xml:space="preserve">Provedbeni propis za uspostavu </w:t>
      </w:r>
      <w:r w:rsidRPr="008853F9">
        <w:rPr>
          <w:rFonts w:ascii="Arial" w:eastAsia="Times New Roman" w:hAnsi="Arial" w:cs="Arial"/>
          <w:noProof/>
          <w:sz w:val="24"/>
          <w:szCs w:val="24"/>
          <w:lang w:val="sr-Latn-CS" w:eastAsia="hr-HR"/>
        </w:rPr>
        <w:t xml:space="preserve">sistema i postupka dodjele eko-oznaka </w:t>
      </w:r>
      <w:r w:rsidRPr="008853F9">
        <w:rPr>
          <w:rFonts w:ascii="Arial" w:eastAsia="Times New Roman" w:hAnsi="Arial" w:cs="Arial"/>
          <w:sz w:val="24"/>
          <w:szCs w:val="24"/>
          <w:lang w:eastAsia="hr-HR"/>
        </w:rPr>
        <w:t>(čl. 123.)</w:t>
      </w:r>
    </w:p>
    <w:p w:rsidR="0040537C" w:rsidRPr="008853F9" w:rsidRDefault="0040537C" w:rsidP="0040537C">
      <w:pPr>
        <w:pStyle w:val="ListParagraph"/>
        <w:spacing w:after="0" w:line="240" w:lineRule="auto"/>
        <w:jc w:val="both"/>
        <w:rPr>
          <w:rFonts w:ascii="Arial" w:eastAsia="Times New Roman" w:hAnsi="Arial" w:cs="Arial"/>
          <w:noProof/>
          <w:sz w:val="24"/>
          <w:szCs w:val="24"/>
          <w:lang w:val="sr-Latn-CS" w:eastAsia="hr-HR"/>
        </w:rPr>
      </w:pPr>
    </w:p>
    <w:p w:rsidR="0040537C" w:rsidRPr="008853F9" w:rsidRDefault="0040537C" w:rsidP="0040537C">
      <w:pPr>
        <w:pStyle w:val="ListParagraph"/>
        <w:numPr>
          <w:ilvl w:val="0"/>
          <w:numId w:val="4"/>
        </w:numPr>
        <w:spacing w:after="0" w:line="240" w:lineRule="auto"/>
        <w:jc w:val="both"/>
        <w:rPr>
          <w:rFonts w:ascii="Arial" w:eastAsia="Times New Roman" w:hAnsi="Arial" w:cs="Arial"/>
          <w:b/>
          <w:sz w:val="24"/>
          <w:szCs w:val="24"/>
          <w:shd w:val="clear" w:color="auto" w:fill="FFFFFF"/>
          <w:lang w:eastAsia="hr-HR"/>
        </w:rPr>
      </w:pPr>
      <w:r w:rsidRPr="008853F9">
        <w:rPr>
          <w:rFonts w:ascii="Arial" w:eastAsia="Times New Roman" w:hAnsi="Arial" w:cs="Arial"/>
          <w:noProof/>
          <w:sz w:val="24"/>
          <w:szCs w:val="24"/>
          <w:lang w:val="sr-Latn-CS" w:eastAsia="hr-HR"/>
        </w:rPr>
        <w:t>Propis za upostavu sistema okolinskog upravljanja i nezavisnog ocjenjivanja - EMAS (podnošenje zahtjeva za registrovanje, visinu naknade, sadržaj i način vođenja registra, razlog za odbijanje upisa, privremeno ili trajno brisanje iz registra, edukaciju i promovisanje sistema EMAS). (čl. 124.)</w:t>
      </w:r>
    </w:p>
    <w:p w:rsidR="0040537C" w:rsidRPr="008853F9" w:rsidRDefault="0040537C" w:rsidP="0040537C">
      <w:pPr>
        <w:pStyle w:val="ListParagraph"/>
        <w:spacing w:after="0" w:line="240" w:lineRule="auto"/>
        <w:jc w:val="both"/>
        <w:rPr>
          <w:rFonts w:ascii="Arial" w:eastAsia="Times New Roman" w:hAnsi="Arial" w:cs="Arial"/>
          <w:b/>
          <w:sz w:val="24"/>
          <w:szCs w:val="24"/>
          <w:shd w:val="clear" w:color="auto" w:fill="FFFFFF"/>
          <w:lang w:eastAsia="hr-HR"/>
        </w:rPr>
      </w:pPr>
    </w:p>
    <w:p w:rsidR="0040537C" w:rsidRPr="008853F9" w:rsidRDefault="0040537C" w:rsidP="0040537C">
      <w:pPr>
        <w:numPr>
          <w:ilvl w:val="0"/>
          <w:numId w:val="4"/>
        </w:numPr>
        <w:jc w:val="both"/>
        <w:rPr>
          <w:rFonts w:ascii="Arial" w:hAnsi="Arial" w:cs="Arial"/>
          <w:b/>
          <w:lang w:val="pl-PL"/>
        </w:rPr>
      </w:pPr>
      <w:r w:rsidRPr="008853F9">
        <w:rPr>
          <w:rFonts w:ascii="Arial" w:hAnsi="Arial" w:cs="Arial"/>
          <w:lang w:val="pl-PL"/>
        </w:rPr>
        <w:t>Propis koji se uređuje praćenje stanja okoliša:  vrste emisija, imisija, prirodnih i drugih pojava koje su predmet praćenja, metodologiju uzimanja uzoraka i mjerenja, rokove za dostavljanje podataka i dr. (čl. 129).</w:t>
      </w:r>
    </w:p>
    <w:p w:rsidR="0040537C" w:rsidRPr="008853F9" w:rsidRDefault="0040537C" w:rsidP="0040537C">
      <w:pPr>
        <w:spacing w:line="276" w:lineRule="auto"/>
        <w:jc w:val="both"/>
        <w:rPr>
          <w:rFonts w:ascii="Arial" w:eastAsia="Arial" w:hAnsi="Arial" w:cs="Arial"/>
          <w:lang w:val="bs-Latn-BA" w:eastAsia="bs-Latn-BA"/>
        </w:rPr>
      </w:pPr>
    </w:p>
    <w:p w:rsidR="00503375" w:rsidRPr="008853F9" w:rsidRDefault="00503375"/>
    <w:sectPr w:rsidR="00503375" w:rsidRPr="008853F9" w:rsidSect="006251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D1"/>
    <w:multiLevelType w:val="hybridMultilevel"/>
    <w:tmpl w:val="4F3C1D6E"/>
    <w:lvl w:ilvl="0" w:tplc="101A0017">
      <w:start w:val="1"/>
      <w:numFmt w:val="lowerLetter"/>
      <w:lvlText w:val="%1)"/>
      <w:lvlJc w:val="left"/>
      <w:pPr>
        <w:ind w:left="927" w:hanging="360"/>
      </w:pPr>
    </w:lvl>
    <w:lvl w:ilvl="1" w:tplc="101A0019" w:tentative="1">
      <w:start w:val="1"/>
      <w:numFmt w:val="lowerLetter"/>
      <w:lvlText w:val="%2."/>
      <w:lvlJc w:val="left"/>
      <w:pPr>
        <w:ind w:left="1647" w:hanging="360"/>
      </w:pPr>
    </w:lvl>
    <w:lvl w:ilvl="2" w:tplc="101A001B" w:tentative="1">
      <w:start w:val="1"/>
      <w:numFmt w:val="lowerRoman"/>
      <w:lvlText w:val="%3."/>
      <w:lvlJc w:val="right"/>
      <w:pPr>
        <w:ind w:left="2367" w:hanging="180"/>
      </w:pPr>
    </w:lvl>
    <w:lvl w:ilvl="3" w:tplc="101A000F" w:tentative="1">
      <w:start w:val="1"/>
      <w:numFmt w:val="decimal"/>
      <w:lvlText w:val="%4."/>
      <w:lvlJc w:val="left"/>
      <w:pPr>
        <w:ind w:left="3087" w:hanging="360"/>
      </w:pPr>
    </w:lvl>
    <w:lvl w:ilvl="4" w:tplc="101A0019" w:tentative="1">
      <w:start w:val="1"/>
      <w:numFmt w:val="lowerLetter"/>
      <w:lvlText w:val="%5."/>
      <w:lvlJc w:val="left"/>
      <w:pPr>
        <w:ind w:left="3807" w:hanging="360"/>
      </w:pPr>
    </w:lvl>
    <w:lvl w:ilvl="5" w:tplc="101A001B" w:tentative="1">
      <w:start w:val="1"/>
      <w:numFmt w:val="lowerRoman"/>
      <w:lvlText w:val="%6."/>
      <w:lvlJc w:val="right"/>
      <w:pPr>
        <w:ind w:left="4527" w:hanging="180"/>
      </w:pPr>
    </w:lvl>
    <w:lvl w:ilvl="6" w:tplc="101A000F" w:tentative="1">
      <w:start w:val="1"/>
      <w:numFmt w:val="decimal"/>
      <w:lvlText w:val="%7."/>
      <w:lvlJc w:val="left"/>
      <w:pPr>
        <w:ind w:left="5247" w:hanging="360"/>
      </w:pPr>
    </w:lvl>
    <w:lvl w:ilvl="7" w:tplc="101A0019" w:tentative="1">
      <w:start w:val="1"/>
      <w:numFmt w:val="lowerLetter"/>
      <w:lvlText w:val="%8."/>
      <w:lvlJc w:val="left"/>
      <w:pPr>
        <w:ind w:left="5967" w:hanging="360"/>
      </w:pPr>
    </w:lvl>
    <w:lvl w:ilvl="8" w:tplc="101A001B" w:tentative="1">
      <w:start w:val="1"/>
      <w:numFmt w:val="lowerRoman"/>
      <w:lvlText w:val="%9."/>
      <w:lvlJc w:val="right"/>
      <w:pPr>
        <w:ind w:left="6687" w:hanging="180"/>
      </w:pPr>
    </w:lvl>
  </w:abstractNum>
  <w:abstractNum w:abstractNumId="1">
    <w:nsid w:val="0356273D"/>
    <w:multiLevelType w:val="hybridMultilevel"/>
    <w:tmpl w:val="A8868DE8"/>
    <w:lvl w:ilvl="0" w:tplc="0368236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B6E14"/>
    <w:multiLevelType w:val="hybridMultilevel"/>
    <w:tmpl w:val="9BE2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17527"/>
    <w:multiLevelType w:val="hybridMultilevel"/>
    <w:tmpl w:val="6FA45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6F21"/>
    <w:multiLevelType w:val="hybridMultilevel"/>
    <w:tmpl w:val="311EC17C"/>
    <w:lvl w:ilvl="0" w:tplc="75C0C8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F6165"/>
    <w:multiLevelType w:val="hybridMultilevel"/>
    <w:tmpl w:val="1B12CAA0"/>
    <w:lvl w:ilvl="0" w:tplc="89E8FE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37C"/>
    <w:rsid w:val="00344D29"/>
    <w:rsid w:val="003A27EF"/>
    <w:rsid w:val="0040537C"/>
    <w:rsid w:val="00503375"/>
    <w:rsid w:val="00567E18"/>
    <w:rsid w:val="00625103"/>
    <w:rsid w:val="006D09D5"/>
    <w:rsid w:val="008853F9"/>
    <w:rsid w:val="00D709D0"/>
    <w:rsid w:val="00F24698"/>
    <w:rsid w:val="00F4629B"/>
    <w:rsid w:val="00F66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7C"/>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40537C"/>
    <w:pPr>
      <w:spacing w:after="0" w:line="240" w:lineRule="auto"/>
    </w:pPr>
    <w:rPr>
      <w:rFonts w:ascii="Calibri" w:eastAsia="Calibri" w:hAnsi="Calibri" w:cs="Times New Roman"/>
    </w:rPr>
  </w:style>
  <w:style w:type="paragraph" w:styleId="NormalWeb">
    <w:name w:val="Normal (Web)"/>
    <w:basedOn w:val="Normal"/>
    <w:uiPriority w:val="99"/>
    <w:unhideWhenUsed/>
    <w:rsid w:val="0040537C"/>
    <w:pPr>
      <w:spacing w:before="100" w:beforeAutospacing="1" w:after="100" w:afterAutospacing="1"/>
    </w:pPr>
    <w:rPr>
      <w:lang w:val="en-US" w:eastAsia="en-US"/>
    </w:rPr>
  </w:style>
  <w:style w:type="character" w:styleId="Hyperlink">
    <w:name w:val="Hyperlink"/>
    <w:basedOn w:val="DefaultParagraphFont"/>
    <w:uiPriority w:val="99"/>
    <w:semiHidden/>
    <w:unhideWhenUsed/>
    <w:rsid w:val="008853F9"/>
    <w:rPr>
      <w:color w:val="0563C1"/>
      <w:u w:val="single"/>
    </w:rPr>
  </w:style>
  <w:style w:type="paragraph" w:styleId="BalloonText">
    <w:name w:val="Balloon Text"/>
    <w:basedOn w:val="Normal"/>
    <w:link w:val="BalloonTextChar"/>
    <w:uiPriority w:val="99"/>
    <w:semiHidden/>
    <w:unhideWhenUsed/>
    <w:rsid w:val="00F66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56"/>
    <w:rPr>
      <w:rFonts w:ascii="Segoe UI" w:eastAsia="Times New Roman" w:hAnsi="Segoe UI" w:cs="Segoe UI"/>
      <w:sz w:val="18"/>
      <w:szCs w:val="18"/>
      <w:lang w:val="hr-HR" w:eastAsia="hr-HR"/>
    </w:rPr>
  </w:style>
</w:styles>
</file>

<file path=word/webSettings.xml><?xml version="1.0" encoding="utf-8"?>
<w:webSettings xmlns:r="http://schemas.openxmlformats.org/officeDocument/2006/relationships" xmlns:w="http://schemas.openxmlformats.org/wordprocessingml/2006/main">
  <w:divs>
    <w:div w:id="3168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SUADA</cp:lastModifiedBy>
  <cp:revision>2</cp:revision>
  <cp:lastPrinted>2020-05-11T08:21:00Z</cp:lastPrinted>
  <dcterms:created xsi:type="dcterms:W3CDTF">2020-05-12T20:58:00Z</dcterms:created>
  <dcterms:modified xsi:type="dcterms:W3CDTF">2020-05-12T20:58:00Z</dcterms:modified>
</cp:coreProperties>
</file>