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B5" w:rsidRPr="00DC51B5" w:rsidRDefault="00DC51B5" w:rsidP="00DC51B5">
      <w:pPr>
        <w:spacing w:line="276" w:lineRule="auto"/>
        <w:rPr>
          <w:rFonts w:ascii="Arial" w:cs="Calibri"/>
          <w:color w:val="000000" w:themeColor="text1"/>
          <w:sz w:val="24"/>
          <w:szCs w:val="24"/>
          <w:u w:color="000000"/>
          <w:lang w:val="bs-Latn-BA" w:eastAsia="bs-Latn-BA"/>
        </w:rPr>
      </w:pPr>
      <w:r w:rsidRPr="00DC51B5">
        <w:rPr>
          <w:rFonts w:ascii="Arial" w:cs="Calibri"/>
          <w:color w:val="000000" w:themeColor="text1"/>
          <w:sz w:val="24"/>
          <w:szCs w:val="24"/>
          <w:u w:color="000000"/>
          <w:lang w:val="bs-Latn-BA" w:eastAsia="bs-Latn-BA"/>
        </w:rPr>
        <w:t xml:space="preserve">Na osnovu </w:t>
      </w:r>
      <w:r w:rsidRPr="00DC51B5">
        <w:rPr>
          <w:rFonts w:ascii="Arial" w:cs="Calibri"/>
          <w:color w:val="000000" w:themeColor="text1"/>
          <w:sz w:val="24"/>
          <w:szCs w:val="24"/>
          <w:u w:color="000000"/>
          <w:lang w:val="bs-Latn-BA" w:eastAsia="bs-Latn-BA"/>
        </w:rPr>
        <w:t>č</w:t>
      </w:r>
      <w:r w:rsidRPr="00DC51B5">
        <w:rPr>
          <w:rFonts w:ascii="Arial" w:cs="Calibri"/>
          <w:color w:val="000000" w:themeColor="text1"/>
          <w:sz w:val="24"/>
          <w:szCs w:val="24"/>
          <w:u w:color="000000"/>
          <w:lang w:val="bs-Latn-BA" w:eastAsia="bs-Latn-BA"/>
        </w:rPr>
        <w:t>lana 68. Zakona o za</w:t>
      </w:r>
      <w:r w:rsidRPr="00DC51B5">
        <w:rPr>
          <w:rFonts w:ascii="Arial" w:cs="Calibri"/>
          <w:color w:val="000000" w:themeColor="text1"/>
          <w:sz w:val="24"/>
          <w:szCs w:val="24"/>
          <w:u w:color="000000"/>
          <w:lang w:val="bs-Latn-BA" w:eastAsia="bs-Latn-BA"/>
        </w:rPr>
        <w:t>š</w:t>
      </w:r>
      <w:r w:rsidRPr="00DC51B5">
        <w:rPr>
          <w:rFonts w:ascii="Arial" w:cs="Calibri"/>
          <w:color w:val="000000" w:themeColor="text1"/>
          <w:sz w:val="24"/>
          <w:szCs w:val="24"/>
          <w:u w:color="000000"/>
          <w:lang w:val="bs-Latn-BA" w:eastAsia="bs-Latn-BA"/>
        </w:rPr>
        <w:t>titi okoli</w:t>
      </w:r>
      <w:r w:rsidRPr="00DC51B5">
        <w:rPr>
          <w:rFonts w:ascii="Arial" w:cs="Calibri"/>
          <w:color w:val="000000" w:themeColor="text1"/>
          <w:sz w:val="24"/>
          <w:szCs w:val="24"/>
          <w:u w:color="000000"/>
          <w:lang w:val="bs-Latn-BA" w:eastAsia="bs-Latn-BA"/>
        </w:rPr>
        <w:t>š</w:t>
      </w:r>
      <w:r w:rsidRPr="00DC51B5">
        <w:rPr>
          <w:rFonts w:ascii="Arial" w:cs="Calibri"/>
          <w:color w:val="000000" w:themeColor="text1"/>
          <w:sz w:val="24"/>
          <w:szCs w:val="24"/>
          <w:u w:color="000000"/>
          <w:lang w:val="bs-Latn-BA" w:eastAsia="bs-Latn-BA"/>
        </w:rPr>
        <w:t>a ("Slu</w:t>
      </w:r>
      <w:r w:rsidRPr="00DC51B5">
        <w:rPr>
          <w:rFonts w:ascii="Arial" w:cs="Calibri"/>
          <w:color w:val="000000" w:themeColor="text1"/>
          <w:sz w:val="24"/>
          <w:szCs w:val="24"/>
          <w:u w:color="000000"/>
          <w:lang w:val="bs-Latn-BA" w:eastAsia="bs-Latn-BA"/>
        </w:rPr>
        <w:t>ž</w:t>
      </w:r>
      <w:r w:rsidRPr="00DC51B5">
        <w:rPr>
          <w:rFonts w:ascii="Arial" w:cs="Calibri"/>
          <w:color w:val="000000" w:themeColor="text1"/>
          <w:sz w:val="24"/>
          <w:szCs w:val="24"/>
          <w:u w:color="000000"/>
          <w:lang w:val="bs-Latn-BA" w:eastAsia="bs-Latn-BA"/>
        </w:rPr>
        <w:t>bene novine FBiH", broj 15/21), Vlada Federacije Bosne i Hercegovine, na sjednici odr</w:t>
      </w:r>
      <w:r w:rsidRPr="00DC51B5">
        <w:rPr>
          <w:rFonts w:ascii="Arial" w:cs="Calibri"/>
          <w:color w:val="000000" w:themeColor="text1"/>
          <w:sz w:val="24"/>
          <w:szCs w:val="24"/>
          <w:u w:color="000000"/>
          <w:lang w:val="bs-Latn-BA" w:eastAsia="bs-Latn-BA"/>
        </w:rPr>
        <w:t>ž</w:t>
      </w:r>
      <w:r w:rsidRPr="00DC51B5">
        <w:rPr>
          <w:rFonts w:ascii="Arial" w:cs="Calibri"/>
          <w:color w:val="000000" w:themeColor="text1"/>
          <w:sz w:val="24"/>
          <w:szCs w:val="24"/>
          <w:u w:color="000000"/>
          <w:lang w:val="bs-Latn-BA" w:eastAsia="bs-Latn-BA"/>
        </w:rPr>
        <w:t>anoj ________ 2021. godine, donosi</w:t>
      </w:r>
    </w:p>
    <w:p w:rsidR="00DC51B5" w:rsidRPr="00DC51B5" w:rsidRDefault="00DC51B5" w:rsidP="00DC51B5">
      <w:pPr>
        <w:tabs>
          <w:tab w:val="left" w:pos="720"/>
        </w:tabs>
        <w:spacing w:after="0" w:line="276" w:lineRule="auto"/>
        <w:jc w:val="center"/>
        <w:rPr>
          <w:rFonts w:ascii="Arial Black" w:hAnsi="Arial Black" w:cs="Arial"/>
          <w:b/>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Black" w:hAnsi="Arial Black" w:cs="Arial"/>
          <w:b/>
          <w:noProof/>
          <w:color w:val="000000" w:themeColor="text1"/>
          <w:sz w:val="24"/>
          <w:szCs w:val="24"/>
          <w:lang w:val="bs-Latn-BA"/>
        </w:rPr>
      </w:pPr>
      <w:r w:rsidRPr="00DC51B5">
        <w:rPr>
          <w:rFonts w:ascii="Arial Black" w:hAnsi="Arial Black" w:cs="Arial"/>
          <w:b/>
          <w:noProof/>
          <w:color w:val="000000" w:themeColor="text1"/>
          <w:sz w:val="24"/>
          <w:szCs w:val="24"/>
          <w:lang w:val="bs-Latn-BA"/>
        </w:rPr>
        <w:t>UREDBU</w:t>
      </w:r>
    </w:p>
    <w:p w:rsidR="00DC51B5" w:rsidRPr="00DC51B5" w:rsidRDefault="00DC51B5" w:rsidP="00DC51B5">
      <w:pPr>
        <w:tabs>
          <w:tab w:val="left" w:pos="720"/>
        </w:tabs>
        <w:spacing w:after="0" w:line="276" w:lineRule="auto"/>
        <w:jc w:val="center"/>
        <w:rPr>
          <w:rFonts w:ascii="Arial Black" w:hAnsi="Arial Black" w:cs="Arial"/>
          <w:b/>
          <w:noProof/>
          <w:color w:val="000000" w:themeColor="text1"/>
          <w:sz w:val="24"/>
          <w:szCs w:val="24"/>
          <w:lang w:val="bs-Latn-BA"/>
        </w:rPr>
      </w:pPr>
      <w:r w:rsidRPr="00DC51B5">
        <w:rPr>
          <w:rFonts w:ascii="Arial Black" w:hAnsi="Arial Black" w:cs="Arial"/>
          <w:b/>
          <w:noProof/>
          <w:color w:val="000000" w:themeColor="text1"/>
          <w:sz w:val="24"/>
          <w:szCs w:val="24"/>
          <w:lang w:val="bs-Latn-BA"/>
        </w:rPr>
        <w:t>O PROJEKTIMA ZA KOJE JE POTREBNA OBAVEZNA PROCJENA UTICAJA NA OKOLIŠ</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POGLAVLJE I. OPŠTE ODREDBE</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(Predmet Uredbe)</w:t>
      </w:r>
    </w:p>
    <w:p w:rsidR="00DC51B5" w:rsidRPr="00DC51B5" w:rsidRDefault="00DC51B5" w:rsidP="00DC51B5">
      <w:pPr>
        <w:tabs>
          <w:tab w:val="left" w:pos="720"/>
        </w:tabs>
        <w:spacing w:after="0" w:line="276" w:lineRule="auto"/>
        <w:jc w:val="center"/>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(1) Ovom uredbom utvrđuje se lista projekata za koje je obavezna procjena uticaja na okoliš, lista projekata za koje Federalno ministarstvo okoliša i turizma (u daljem tekstu: Federalno ministarstvo) odlučuje da li je potrebna procjena uticaja na okoliš (izrada Studije), kriteriji i dodatne informacije koje pomažu pri određivanju da li je potrebna procjena i druga pitanja od značaja za odlučivanje o procjeni uticaja na okoliš.</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(2) U skladu sa odredbom člana 64. stav 2. Zakona o zaštiti okoliša (u daljem tekstu: Zakon) oredbe ove Uredbe ne primjenjuju se na projekte koji služe isključivo za odbrambene svrhe ili projekte čija je jedina svrha odgovor na civilna vanredna stanja.</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 xml:space="preserve">Član 2. </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(Nadležnost)</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Za projekte koji se nalaze ispod pragova i kriterija utvrđenih U Prilogu I i Prilogu II ove Uredbe, nadležno je kantonalno ministarstvo za pitanja zaštite okoliša. </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3.</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(Definicije)</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Za potrebe ove Uredbe, slijedeći izrazi imaju ovo značenje:</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a) „projekat” znači: </w:t>
      </w:r>
    </w:p>
    <w:p w:rsidR="00DC51B5" w:rsidRPr="00DC51B5" w:rsidRDefault="00DC51B5" w:rsidP="00DC51B5">
      <w:pPr>
        <w:pStyle w:val="ListParagraph"/>
        <w:numPr>
          <w:ilvl w:val="0"/>
          <w:numId w:val="36"/>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izvođenje građevinskih radova, ugradnja ili rekonstrukcija instalacija, postrojenja, sistema ili opreme, njihovo uklanjanje, prestanak rada i/ili promjena, promjena </w:t>
      </w:r>
      <w:r w:rsidRPr="00DC51B5">
        <w:rPr>
          <w:rFonts w:ascii="Arial" w:hAnsi="Arial" w:cs="Arial"/>
          <w:noProof/>
          <w:color w:val="000000" w:themeColor="text1"/>
          <w:sz w:val="24"/>
          <w:szCs w:val="24"/>
          <w:lang w:val="bs-Latn-BA"/>
        </w:rPr>
        <w:lastRenderedPageBreak/>
        <w:t>tehologije, procesa rada ili proizvodnje, sirovine/a, repromaterijala, energenata i otpada;</w:t>
      </w:r>
    </w:p>
    <w:p w:rsidR="00DC51B5" w:rsidRPr="00DC51B5" w:rsidRDefault="00DC51B5" w:rsidP="00DC51B5">
      <w:pPr>
        <w:pStyle w:val="ListParagraph"/>
        <w:numPr>
          <w:ilvl w:val="0"/>
          <w:numId w:val="36"/>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ostali zahvati u prirodu i prirodnom okruženju, uključujući i one koji uključuju vađenje mineralnih resursa. </w:t>
      </w:r>
    </w:p>
    <w:p w:rsidR="00DC51B5" w:rsidRPr="00DC51B5" w:rsidRDefault="00DC51B5" w:rsidP="00DC51B5">
      <w:p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b) „nosilac projekta ” znači podnosilac zahtjeva za odobrenje privatnog projekta ili javno tijelo koje pokreće projekat; </w:t>
      </w:r>
    </w:p>
    <w:p w:rsidR="00DC51B5" w:rsidRPr="00DC51B5" w:rsidRDefault="00DC51B5" w:rsidP="00DC51B5">
      <w:p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c) „odobrenje za provedbu projekta” znači odluka nadležnog tijela ili više njih koja nosiocu projekta daje pravo da započne ili da nastavi sa projektom.</w:t>
      </w:r>
    </w:p>
    <w:p w:rsidR="00DC51B5" w:rsidRPr="00DC51B5" w:rsidRDefault="00DC51B5" w:rsidP="00DC51B5">
      <w:pPr>
        <w:spacing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line="276" w:lineRule="auto"/>
        <w:jc w:val="both"/>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POGLAVLJE II. PROJEKTI ZA KOJE SE PROVODI PROCJENA UTICAJA NA OKOLIŠ I PROJEKTI ZA KOJE FEDERALNO MINISTARSTVO ODLUČUJE O  POTREBI PROVOĐENJA PROCJENE UTICAJA NA OKOLIŠ</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4.</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(Klasifikacija projekata za koje se obavezno vrši provođenje procjene uticaja na okoliš)</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(1) Projekti za koje se obavezno provodi procjena uticaja na okoliš u obje faze(prethodna procjena uticaja na okoliš i izrada Studije) sadržani su u Prilogu I. ove Uredbe i čine sastavni dio ove uredbe.</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(2) Projekti za koje nadležno ministarstvo odlučuje o potrebi provođenja procjene uticaja na okoliš sadržani su u Prilogu II ove uredbe i čine sastavni dio ove uredbe. </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color w:val="000000" w:themeColor="text1"/>
          <w:sz w:val="24"/>
          <w:szCs w:val="24"/>
          <w:lang w:val="bs-Latn-BA"/>
        </w:rPr>
      </w:pPr>
      <w:r w:rsidRPr="00DC51B5">
        <w:rPr>
          <w:rFonts w:ascii="Arial" w:hAnsi="Arial" w:cs="Arial"/>
          <w:noProof/>
          <w:color w:val="000000" w:themeColor="text1"/>
          <w:sz w:val="24"/>
          <w:szCs w:val="24"/>
          <w:lang w:val="bs-Latn-BA"/>
        </w:rPr>
        <w:t>(3) Osim projekata nabrojanih u Prilogu I. i II. ove uredbe, procjena uticaja na okoliš potrebna je i za:</w:t>
      </w:r>
      <w:r w:rsidRPr="00DC51B5">
        <w:rPr>
          <w:color w:val="000000" w:themeColor="text1"/>
          <w:sz w:val="24"/>
          <w:szCs w:val="24"/>
          <w:lang w:val="bs-Latn-BA"/>
        </w:rPr>
        <w:t xml:space="preserve"> </w:t>
      </w:r>
    </w:p>
    <w:p w:rsidR="00DC51B5" w:rsidRPr="00DC51B5" w:rsidRDefault="00DC51B5" w:rsidP="00DC51B5">
      <w:pPr>
        <w:tabs>
          <w:tab w:val="left" w:pos="720"/>
        </w:tabs>
        <w:spacing w:after="0" w:line="276" w:lineRule="auto"/>
        <w:jc w:val="both"/>
        <w:rPr>
          <w:color w:val="000000" w:themeColor="text1"/>
          <w:sz w:val="24"/>
          <w:szCs w:val="24"/>
          <w:lang w:val="bs-Latn-BA"/>
        </w:rPr>
      </w:pPr>
    </w:p>
    <w:p w:rsidR="00DC51B5" w:rsidRPr="00DC51B5" w:rsidRDefault="00DC51B5" w:rsidP="00DC51B5">
      <w:pPr>
        <w:pStyle w:val="ListParagraph"/>
        <w:numPr>
          <w:ilvl w:val="0"/>
          <w:numId w:val="10"/>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znatne promjene na projektima, utvrđene članom 95. Zakona, pri čemu promjena projekta dostiže propisane pragove utvrđene Prilogom I. i II. ove uredbe, </w:t>
      </w:r>
    </w:p>
    <w:p w:rsidR="00DC51B5" w:rsidRPr="00DC51B5" w:rsidRDefault="00DC51B5" w:rsidP="00DC51B5">
      <w:pPr>
        <w:pStyle w:val="ListParagraph"/>
        <w:numPr>
          <w:ilvl w:val="0"/>
          <w:numId w:val="10"/>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projekte čiji rast proizvodnje, upotreba energije, upotreba vode, korištenje prostora, emisije ili proizvodnja otpada prelazi 25% od prvobitno utvrđenih vrijednosti, i </w:t>
      </w:r>
    </w:p>
    <w:p w:rsidR="00DC51B5" w:rsidRPr="00DC51B5" w:rsidRDefault="00DC51B5" w:rsidP="00DC51B5">
      <w:pPr>
        <w:pStyle w:val="ListParagraph"/>
        <w:numPr>
          <w:ilvl w:val="0"/>
          <w:numId w:val="10"/>
        </w:numPr>
        <w:tabs>
          <w:tab w:val="left" w:pos="720"/>
        </w:tabs>
        <w:spacing w:after="0" w:line="276" w:lineRule="auto"/>
        <w:jc w:val="both"/>
        <w:rPr>
          <w:noProof/>
          <w:color w:val="000000" w:themeColor="text1"/>
          <w:lang w:val="bs-Latn-BA"/>
        </w:rPr>
      </w:pPr>
      <w:r w:rsidRPr="00DC51B5">
        <w:rPr>
          <w:rFonts w:ascii="Arial" w:hAnsi="Arial" w:cs="Arial"/>
          <w:noProof/>
          <w:color w:val="000000" w:themeColor="text1"/>
          <w:sz w:val="24"/>
          <w:szCs w:val="24"/>
          <w:lang w:val="bs-Latn-BA"/>
        </w:rPr>
        <w:t>prestanak rada, rušenje i zatvaranje objekata iz Priloga I. i II. ove uredbe, i pogoni i postrojenja koji podliježu obavezi pribavljanja okolinske dozvole, u skladu sa propisom iz stava (1) člana 83. Zakona.</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5.</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lastRenderedPageBreak/>
        <w:t>(Informacije o projektima koje dostavlja nosilac projekta za koje Federalno ministarstvo odlučuje o potrebi provođenja uticaja na okoliš)</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(1) Prilikom određivanja da li se za projekte iz stava 2. člana 4. ove uredbe provodi procjena uticaja na okoliš, Federalno ministarstvo će uzeti u obzir neophodne informacije o projektu koje je dužan dostaviti nosilac projekta u formi zahtjeva iz Priloga III ove Uredbe.</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(2) Informacije o projektu iz stava (1) ovog člana uključuju slijedeće:</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spacing w:line="276" w:lineRule="auto"/>
        <w:ind w:left="36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a) Opis projekta, uključujući posebno: </w:t>
      </w:r>
    </w:p>
    <w:p w:rsidR="00DC51B5" w:rsidRPr="00DC51B5" w:rsidRDefault="00DC51B5" w:rsidP="00DC51B5">
      <w:pPr>
        <w:pStyle w:val="ListParagraph"/>
        <w:numPr>
          <w:ilvl w:val="0"/>
          <w:numId w:val="2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opis fizičkih karakteristika cjelokupnog projekta i po potrebi radova uklanjanja; </w:t>
      </w:r>
    </w:p>
    <w:p w:rsidR="00DC51B5" w:rsidRPr="00DC51B5" w:rsidRDefault="00DC51B5" w:rsidP="00DC51B5">
      <w:pPr>
        <w:pStyle w:val="ListParagraph"/>
        <w:numPr>
          <w:ilvl w:val="0"/>
          <w:numId w:val="2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opis lokacije projekta, posebno u pogledu osjetljivosti okoliša geografskih područja na koje bi projekat mogao imati utjecaj. </w:t>
      </w:r>
    </w:p>
    <w:p w:rsidR="00DC51B5" w:rsidRPr="00DC51B5" w:rsidRDefault="00DC51B5" w:rsidP="00DC51B5">
      <w:pPr>
        <w:spacing w:line="276" w:lineRule="auto"/>
        <w:ind w:left="36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b) Opis aspekata u vezi okoliša za koje je izgledno da bi projekat na njih mogao imati značajan uticaj. </w:t>
      </w:r>
    </w:p>
    <w:p w:rsidR="00DC51B5" w:rsidRPr="00DC51B5" w:rsidRDefault="00DC51B5" w:rsidP="00DC51B5">
      <w:pPr>
        <w:spacing w:line="276" w:lineRule="auto"/>
        <w:ind w:left="36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c) Opis svih mogućih značajnih uticaja, u mjeri u kojoj su informacije o takvim uticajima dostupne, projekta na okoliš, a koji su posljedica: </w:t>
      </w:r>
    </w:p>
    <w:p w:rsidR="00DC51B5" w:rsidRPr="00DC51B5" w:rsidRDefault="00DC51B5" w:rsidP="00DC51B5">
      <w:pPr>
        <w:pStyle w:val="ListParagraph"/>
        <w:numPr>
          <w:ilvl w:val="0"/>
          <w:numId w:val="24"/>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očekivanih ostataka i emisija te proizvodnje otpada, kada je to relevantno; </w:t>
      </w:r>
    </w:p>
    <w:p w:rsidR="00DC51B5" w:rsidRPr="00DC51B5" w:rsidRDefault="00DC51B5" w:rsidP="00DC51B5">
      <w:pPr>
        <w:pStyle w:val="ListParagraph"/>
        <w:numPr>
          <w:ilvl w:val="0"/>
          <w:numId w:val="24"/>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iskorištavanja prirodnih resursa, posebno tla, zemljišta, vode i biološke raznolikosti. </w:t>
      </w:r>
    </w:p>
    <w:p w:rsidR="00DC51B5" w:rsidRPr="00DC51B5" w:rsidRDefault="00DC51B5" w:rsidP="00DC51B5">
      <w:pPr>
        <w:spacing w:line="276" w:lineRule="auto"/>
        <w:ind w:left="36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d) Kriteriji iz člana 7. stav. 3. ove uredbe, se prema potrebi uzimaju u obzir prilikom sakupljanja informacija u skladu sa stavom (1) tač. a), b) i c) tog člana.</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6.</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 xml:space="preserve">(Kriteriji na temelju kojih se odlučuje o potrebi </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provođenja procjene uticaja na okoliš)</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(1) Za projekte za koje se može sprovesti procjena uticaja iz stava (2) člana 4. ove uredbe uzimaju se u obzir kriteriji na temelju kojih se vrši ocjena potrebe provođenja procjene uticaja na okoliš. </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BodyText3"/>
        <w:spacing w:line="276" w:lineRule="auto"/>
        <w:rPr>
          <w:rFonts w:ascii="Arial" w:eastAsiaTheme="minorHAnsi" w:hAnsi="Arial" w:cs="Arial"/>
          <w:noProof/>
          <w:color w:val="000000" w:themeColor="text1"/>
          <w:szCs w:val="24"/>
          <w:lang w:val="bs-Latn-BA"/>
        </w:rPr>
      </w:pPr>
      <w:r w:rsidRPr="00DC51B5">
        <w:rPr>
          <w:rFonts w:ascii="Arial" w:eastAsiaTheme="minorHAnsi" w:hAnsi="Arial" w:cs="Arial"/>
          <w:noProof/>
          <w:color w:val="000000" w:themeColor="text1"/>
          <w:szCs w:val="24"/>
          <w:lang w:val="bs-Latn-BA"/>
        </w:rPr>
        <w:t>(2) Federalno ministarstvo će za svaki pojedinačni slučaj, u skladu sa Zakonom, utvrditi obavezu i obim provođenja procjene uticaja na okoliš, pri čemu će uzeti u obzir kriterije iz stava (3) ovog člana.</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lastRenderedPageBreak/>
        <w:t>(3) Kriteriji na temelju kojih se odlučuje o potrebi provođenja procjene uticaja na okoliš su:</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ListParagraph"/>
        <w:numPr>
          <w:ilvl w:val="0"/>
          <w:numId w:val="28"/>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Karakteristike projekata. Ovdje se moraju razmotriti posebno slijedeća pitanja: </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veličina i nacrt cjelokupnog projekta;</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kumulativni uticaj sa ostalim postojećim i/ili odobrenim projektima;</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 Korištenje prirodnih resursa, a posebno tla. zemljišta, vode i biološke raznolikosti;</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proizvodnju otpada;</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zagađenje i štetna djelovanja;</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rizik od velikih nesreća i/ili katastrofa koje su relevantne za projekat, uključujući one koje su uzrokovane promjenom klime, u skladu sa naučnim saznanjima;</w:t>
      </w:r>
    </w:p>
    <w:p w:rsidR="00DC51B5" w:rsidRPr="00DC51B5" w:rsidRDefault="00DC51B5" w:rsidP="00DC51B5">
      <w:pPr>
        <w:pStyle w:val="ListParagraph"/>
        <w:numPr>
          <w:ilvl w:val="0"/>
          <w:numId w:val="27"/>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rizike za ljudsko zdravlje (na primjer zbog zagađenja vode ili zraka).</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ListParagraph"/>
        <w:numPr>
          <w:ilvl w:val="0"/>
          <w:numId w:val="28"/>
        </w:numPr>
        <w:rPr>
          <w:noProof/>
          <w:color w:val="000000" w:themeColor="text1"/>
          <w:sz w:val="24"/>
          <w:szCs w:val="24"/>
          <w:lang w:val="bs-Latn-BA"/>
        </w:rPr>
      </w:pPr>
      <w:r w:rsidRPr="00DC51B5">
        <w:rPr>
          <w:rFonts w:ascii="Arial" w:hAnsi="Arial" w:cs="Arial"/>
          <w:noProof/>
          <w:color w:val="000000" w:themeColor="text1"/>
          <w:sz w:val="24"/>
          <w:szCs w:val="24"/>
          <w:lang w:val="bs-Latn-BA"/>
        </w:rPr>
        <w:t>Lokacija projekta. Ovdje se mora razmotriti osjetljivost okoliša geografskih područja za koja je vjerovatno da bi projekti mogli na njih značajno uticati, posebno uzimajući u obzir slijedeće</w:t>
      </w:r>
      <w:r w:rsidRPr="00DC51B5">
        <w:rPr>
          <w:noProof/>
          <w:color w:val="000000" w:themeColor="text1"/>
          <w:sz w:val="24"/>
          <w:szCs w:val="24"/>
          <w:lang w:val="bs-Latn-BA"/>
        </w:rPr>
        <w:t xml:space="preserve">: </w:t>
      </w:r>
    </w:p>
    <w:p w:rsidR="00DC51B5" w:rsidRPr="00DC51B5" w:rsidRDefault="00DC51B5" w:rsidP="00DC51B5">
      <w:pPr>
        <w:pStyle w:val="ListParagraph"/>
        <w:numPr>
          <w:ilvl w:val="0"/>
          <w:numId w:val="29"/>
        </w:numPr>
        <w:tabs>
          <w:tab w:val="left" w:pos="720"/>
        </w:tabs>
        <w:spacing w:after="0" w:line="276" w:lineRule="auto"/>
        <w:ind w:left="1080"/>
        <w:jc w:val="both"/>
        <w:rPr>
          <w:rFonts w:ascii="Arial" w:hAnsi="Arial" w:cs="Arial"/>
          <w:b/>
          <w:noProof/>
          <w:color w:val="000000" w:themeColor="text1"/>
          <w:sz w:val="24"/>
          <w:szCs w:val="24"/>
          <w:lang w:val="bs-Latn-BA"/>
        </w:rPr>
      </w:pPr>
      <w:r w:rsidRPr="00DC51B5">
        <w:rPr>
          <w:rFonts w:ascii="Arial" w:hAnsi="Arial" w:cs="Arial"/>
          <w:noProof/>
          <w:color w:val="000000" w:themeColor="text1"/>
          <w:sz w:val="24"/>
          <w:szCs w:val="24"/>
          <w:lang w:val="bs-Latn-BA"/>
        </w:rPr>
        <w:t>postojeću i odobrenu upotrebu zemljišta;</w:t>
      </w:r>
    </w:p>
    <w:p w:rsidR="00DC51B5" w:rsidRPr="00DC51B5" w:rsidRDefault="00DC51B5" w:rsidP="00DC51B5">
      <w:pPr>
        <w:pStyle w:val="ListParagraph"/>
        <w:numPr>
          <w:ilvl w:val="0"/>
          <w:numId w:val="29"/>
        </w:numPr>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relativnu raspoloživost, kvalitet i regenerativni kapacitet prirodnih resursa (uključujući tlo, zemljište, vodu i biološku raznolikost) tog područja i njegovog podzemnog dijela.</w:t>
      </w:r>
    </w:p>
    <w:p w:rsidR="00DC51B5" w:rsidRPr="00DC51B5" w:rsidRDefault="00DC51B5" w:rsidP="00DC51B5">
      <w:pPr>
        <w:pStyle w:val="ListParagraph"/>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ListParagraph"/>
        <w:numPr>
          <w:ilvl w:val="0"/>
          <w:numId w:val="28"/>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Apsorpcioni kapacitet prirodne sredine. Ovdje se obraća posebna pažnja na slijedeća područja:</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močvarna područja, obalna područja rijeka i ušća rijeka; </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obalna područja i morski okoliš; </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planinska, šumska i kraška područja; </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zaštićena prirodna područja i nacionalne parkove;</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spomenike prirode i zaštićene pejzaže;</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područja rijetkih i ugroženih biljnih i životinjskih vrsta;</w:t>
      </w:r>
    </w:p>
    <w:p w:rsidR="00DC51B5" w:rsidRPr="00DC51B5" w:rsidRDefault="00DC51B5" w:rsidP="00DC51B5">
      <w:pPr>
        <w:pStyle w:val="ListParagraph"/>
        <w:numPr>
          <w:ilvl w:val="1"/>
          <w:numId w:val="31"/>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područja na kojima još od ranije nisu bili zadovoljeni standardi kvaliteta okoliša koji su         relevantni za projekat ili u odnosu na koja se smatra da isti nisu zadovoljeni;</w:t>
      </w:r>
      <w:r w:rsidRPr="00DC51B5">
        <w:rPr>
          <w:color w:val="000000" w:themeColor="text1"/>
          <w:sz w:val="24"/>
          <w:szCs w:val="24"/>
          <w:lang w:val="bs-Latn-BA"/>
        </w:rPr>
        <w:t xml:space="preserve"> </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gusto naseljena područja;</w:t>
      </w:r>
    </w:p>
    <w:p w:rsidR="00DC51B5" w:rsidRPr="00DC51B5" w:rsidRDefault="00DC51B5" w:rsidP="00DC51B5">
      <w:pPr>
        <w:pStyle w:val="ListParagraph"/>
        <w:numPr>
          <w:ilvl w:val="1"/>
          <w:numId w:val="31"/>
        </w:numPr>
        <w:tabs>
          <w:tab w:val="left" w:pos="72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pejzaži i područja od historijskog, kulturnog ili arheološkog značaja.</w:t>
      </w:r>
    </w:p>
    <w:p w:rsidR="00DC51B5" w:rsidRPr="00DC51B5" w:rsidRDefault="00DC51B5" w:rsidP="00DC51B5">
      <w:pPr>
        <w:tabs>
          <w:tab w:val="left" w:pos="720"/>
        </w:tabs>
        <w:spacing w:after="0" w:line="276" w:lineRule="auto"/>
        <w:ind w:left="300"/>
        <w:jc w:val="both"/>
        <w:rPr>
          <w:rFonts w:ascii="Arial" w:hAnsi="Arial" w:cs="Arial"/>
          <w:noProof/>
          <w:color w:val="000000" w:themeColor="text1"/>
          <w:sz w:val="24"/>
          <w:szCs w:val="24"/>
          <w:lang w:val="bs-Latn-BA"/>
        </w:rPr>
      </w:pPr>
    </w:p>
    <w:p w:rsidR="00DC51B5" w:rsidRPr="00DC51B5" w:rsidRDefault="00DC51B5" w:rsidP="00DC51B5">
      <w:pPr>
        <w:numPr>
          <w:ilvl w:val="0"/>
          <w:numId w:val="28"/>
        </w:numPr>
        <w:tabs>
          <w:tab w:val="left" w:pos="720"/>
        </w:tabs>
        <w:spacing w:after="0" w:line="276" w:lineRule="auto"/>
        <w:jc w:val="both"/>
        <w:rPr>
          <w:rFonts w:ascii="Arial" w:hAnsi="Arial" w:cs="Arial"/>
          <w:b/>
          <w:noProof/>
          <w:color w:val="000000" w:themeColor="text1"/>
          <w:sz w:val="24"/>
          <w:szCs w:val="24"/>
          <w:lang w:val="bs-Latn-BA"/>
        </w:rPr>
      </w:pPr>
      <w:r w:rsidRPr="00DC51B5">
        <w:rPr>
          <w:rFonts w:ascii="Arial" w:hAnsi="Arial" w:cs="Arial"/>
          <w:noProof/>
          <w:color w:val="000000" w:themeColor="text1"/>
          <w:sz w:val="24"/>
          <w:szCs w:val="24"/>
          <w:lang w:val="bs-Latn-BA"/>
        </w:rPr>
        <w:t xml:space="preserve">Vrsta i karakteristike potencijalnog uticaja. Ovdje se obraća pažnja na izgledni značajni utjecaji projekata na okoliš koji se odnose na kriterije određene u stavu (3) tač. a), b) i c) ovog člana uzimajući u obzir utjecaj projekta na faktore utvrđene u stavu (1) članu 64. Zakona i vodeći računa o sljedećem: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lastRenderedPageBreak/>
        <w:t xml:space="preserve">veličini i prostornom obuhvatu utjecaja kao što su geografsko područje i broj stanovnika na koje bi projekat mogao utjecati;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vrsti uticaja;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prekograničnoj vrsti uticaja;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jačini i složenosti uticaja;</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vjerojatnoći uticaja;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očekivanom nastanku, trajanju, učestalosti i reverzibilnosti uticaja;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kumulativnom uticaju s uticajima drugih postojećih i/ili odobrenih projekata; </w:t>
      </w:r>
    </w:p>
    <w:p w:rsidR="00DC51B5" w:rsidRPr="00DC51B5" w:rsidRDefault="00DC51B5" w:rsidP="00DC51B5">
      <w:pPr>
        <w:pStyle w:val="ListParagraph"/>
        <w:numPr>
          <w:ilvl w:val="0"/>
          <w:numId w:val="32"/>
        </w:numPr>
        <w:spacing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mogućnosti djelotvornog smanjivanja uticaja.</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7.</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(Projekti za koje se neće provoditi procjena uticaja na okoliš)</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pStyle w:val="BodyText"/>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(1) Za projekte iz Priloga II. ove Uredbe neće se provoditi procjena uticaja na okoliš ukoliko:</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Projekat neće značajno koristiti prirodni resurs ili će koristiti prirodni resurs na način da spriječi upotrebu ili potencijalnu upotrebu tog resursa u druge svrhe,</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Potencijalni trajni utjecaji na okoliš će najvjerovatnije biti minorni, od manje važnosti i jednostavno ublaženi,</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Tip projekta, njegov utjecaj na okoliš i mjere upravljanja tim uticajima su dobro poznati,</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Postoji pouzdan način kojim se može osigurati da mjere za upravljanje uticajima mogu biti, i biti će, adekvatno planirane i implementirane,</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Projekat neće izmjestiti značajan broj ljudi, životnih zajednica, biljnih i životinjskih vrsta,</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Projekat nije lociran i neće utjecati na ekološki osjetljiva područja navedena u članu 6. stav (3) tačka c). alineja 3 tog člana.</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Projekat neće dovesti do izmjena:</w:t>
      </w:r>
    </w:p>
    <w:p w:rsidR="00DC51B5" w:rsidRPr="00DC51B5" w:rsidRDefault="00DC51B5" w:rsidP="00DC51B5">
      <w:pPr>
        <w:pStyle w:val="BodyText"/>
        <w:spacing w:after="0" w:line="276" w:lineRule="auto"/>
        <w:ind w:left="36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      -     u vlasništvu i namjeni zemljišta; i/ili</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upotrebi vode kroz irigaciju, promoviranje isušivanja ili izmjenu toka vode izgradnjom brana, i neće dovesti do izmjena u ribarskim praksama.</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Projekat neće dovesti do: </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Nepovoljnih socio-ekonomskih uticaja;</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Uništenja zemljišta; </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Zagađenja vode; </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Zagađenja zraka; </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Ugrožavanja biljnog i životinjskog svijeta i njihovih staništa;</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Negativnih uticaja na klimu i hidrološki ciklus;</w:t>
      </w:r>
    </w:p>
    <w:p w:rsidR="00DC51B5" w:rsidRPr="00DC51B5" w:rsidRDefault="00DC51B5" w:rsidP="00DC51B5">
      <w:pPr>
        <w:pStyle w:val="BodyText"/>
        <w:numPr>
          <w:ilvl w:val="0"/>
          <w:numId w:val="4"/>
        </w:numPr>
        <w:tabs>
          <w:tab w:val="clear" w:pos="720"/>
          <w:tab w:val="num" w:pos="1080"/>
        </w:tabs>
        <w:spacing w:after="0" w:line="276" w:lineRule="auto"/>
        <w:ind w:left="1080"/>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Nastanka nusprodukata, ostataka materijala i otpada koji zahtjevaju rukovanje i odlaganje na način koji nije regulisan zakonom.</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lastRenderedPageBreak/>
        <w:t>Projekat neće zabrinuti javnost zbog potencijalnih negativnih uticaja na okoliš,</w:t>
      </w:r>
    </w:p>
    <w:p w:rsidR="00DC51B5" w:rsidRPr="00DC51B5" w:rsidRDefault="00DC51B5" w:rsidP="00DC51B5">
      <w:pPr>
        <w:pStyle w:val="BodyText"/>
        <w:numPr>
          <w:ilvl w:val="0"/>
          <w:numId w:val="33"/>
        </w:numPr>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Nakon izgradnje, projekat neće zahtjevati dodatne razvojne aktivnosti koje mogu imati negativan utjecaj na okoliš.</w:t>
      </w:r>
    </w:p>
    <w:p w:rsidR="00DC51B5" w:rsidRPr="00DC51B5" w:rsidRDefault="00DC51B5" w:rsidP="00DC51B5">
      <w:pPr>
        <w:pStyle w:val="BodyText"/>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BodyText"/>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(2) Ministarstvo će u formi rješenja obrazložiti razloge izuzimanja projekata od provođenja procjene uticaja na okoliš, te navesti druge moguće oblike procjene koje bi bile primjerene za takve projekte.</w:t>
      </w:r>
    </w:p>
    <w:p w:rsidR="00DC51B5" w:rsidRPr="00DC51B5" w:rsidRDefault="00DC51B5" w:rsidP="00DC51B5">
      <w:pPr>
        <w:pStyle w:val="BodyText"/>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BodyText"/>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(3) Ministarstvo će, najkasnije 30 dana prije donošenja rješenja, obavijestiti zainteresovanu javnost o informacijama koje se odnose na donošenje rješenja o izuzeću, te navesti razloge izuzeća od provođenja procjene uticaja na okoliš. </w:t>
      </w:r>
    </w:p>
    <w:p w:rsidR="00DC51B5" w:rsidRPr="00DC51B5" w:rsidRDefault="00DC51B5" w:rsidP="00DC51B5">
      <w:pPr>
        <w:tabs>
          <w:tab w:val="left" w:pos="720"/>
        </w:tabs>
        <w:spacing w:after="0" w:line="276" w:lineRule="auto"/>
        <w:jc w:val="center"/>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POGLAVLJE III. POSTUPAK ZA PROVOĐENJE PRETHODNE PROCJENE UTICAJA NA OKOLIŠ (I FAZA)</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8.</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(Zahtjev za prethodnu procjenu)</w:t>
      </w:r>
    </w:p>
    <w:p w:rsidR="00DC51B5" w:rsidRPr="00DC51B5" w:rsidRDefault="00DC51B5" w:rsidP="00DC51B5">
      <w:pPr>
        <w:tabs>
          <w:tab w:val="left" w:pos="720"/>
        </w:tabs>
        <w:spacing w:after="0" w:line="276" w:lineRule="auto"/>
        <w:jc w:val="both"/>
        <w:rPr>
          <w:rFonts w:ascii="Arial" w:hAnsi="Arial" w:cs="Arial"/>
          <w:noProof/>
          <w:color w:val="000000" w:themeColor="text1"/>
          <w:sz w:val="24"/>
          <w:szCs w:val="24"/>
          <w:lang w:val="bs-Latn-BA"/>
        </w:rPr>
      </w:pPr>
    </w:p>
    <w:p w:rsidR="00DC51B5" w:rsidRPr="00DC51B5" w:rsidRDefault="00DC51B5" w:rsidP="00DC51B5">
      <w:pPr>
        <w:pStyle w:val="ListParagraph"/>
        <w:numPr>
          <w:ilvl w:val="0"/>
          <w:numId w:val="34"/>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 skladu sa odredbom člana 65. Zakona, Federalno ministarstvo provodi postupak za utvrđivanje prethodne procjene uticaja na okoliš, koji se vrši prema odredbama čl. 69. do 72. Zakona i odredbama ove uredbe.</w:t>
      </w:r>
    </w:p>
    <w:p w:rsidR="00DC51B5" w:rsidRPr="00DC51B5" w:rsidRDefault="00DC51B5" w:rsidP="00DC51B5">
      <w:pPr>
        <w:pStyle w:val="ListParagraph"/>
        <w:numPr>
          <w:ilvl w:val="0"/>
          <w:numId w:val="34"/>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Postupak iz stava (1) ovog člana pokreće se na pisani zahtjev koji podnosilac zahtjeva podnosi Federalnom ministarstvu za projekte koji su Zakonom stavljeni u nadležnost tog ministarstva.</w:t>
      </w:r>
    </w:p>
    <w:p w:rsidR="00DC51B5" w:rsidRPr="00DC51B5" w:rsidRDefault="00DC51B5" w:rsidP="00DC51B5">
      <w:pPr>
        <w:pStyle w:val="ListParagraph"/>
        <w:numPr>
          <w:ilvl w:val="0"/>
          <w:numId w:val="34"/>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Zahtjev sadrži pitanja utvrđena u članu 69. Zakona, i podnosi se na obrascu koji je utvrđen u Prilogu III ove uredbe koji čini njen sastavni dio. Uz zahtjev se prilažu dokazi koji se odnose na pitanja sadržana u zahtjevu. </w:t>
      </w:r>
    </w:p>
    <w:p w:rsidR="00DC51B5" w:rsidRPr="00DC51B5" w:rsidRDefault="00DC51B5" w:rsidP="00DC51B5">
      <w:pPr>
        <w:pStyle w:val="ListParagraph"/>
        <w:numPr>
          <w:ilvl w:val="0"/>
          <w:numId w:val="34"/>
        </w:numPr>
        <w:tabs>
          <w:tab w:val="left" w:pos="720"/>
        </w:tabs>
        <w:spacing w:after="0"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Uz zahtjev se prilaže i potpisana Izjava o tačnosti, istinitosti i potpunosti podataka koji su sadržani u zahtjevu. Obrazac Izjave se nalazi u Prilogu IV ove uredbe koji čini njen sastavni dio.</w:t>
      </w: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9.</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(Utvrđivanje nadležnosti i pravne valjanosti podnešenog zahtjeva)</w:t>
      </w:r>
    </w:p>
    <w:p w:rsidR="00DC51B5" w:rsidRPr="00DC51B5" w:rsidRDefault="00DC51B5" w:rsidP="00DC51B5">
      <w:pPr>
        <w:tabs>
          <w:tab w:val="left" w:pos="720"/>
        </w:tabs>
        <w:spacing w:after="0" w:line="276" w:lineRule="auto"/>
        <w:jc w:val="center"/>
        <w:rPr>
          <w:noProof/>
          <w:color w:val="000000" w:themeColor="text1"/>
          <w:sz w:val="24"/>
          <w:szCs w:val="24"/>
          <w:lang w:val="bs-Latn-BA"/>
        </w:rPr>
      </w:pPr>
    </w:p>
    <w:p w:rsidR="00DC51B5" w:rsidRPr="00DC51B5" w:rsidRDefault="00DC51B5" w:rsidP="00DC51B5">
      <w:pPr>
        <w:pStyle w:val="BodyText"/>
        <w:numPr>
          <w:ilvl w:val="0"/>
          <w:numId w:val="35"/>
        </w:numPr>
        <w:spacing w:line="276" w:lineRule="auto"/>
        <w:jc w:val="both"/>
        <w:rPr>
          <w:rFonts w:ascii="Arial" w:hAnsi="Arial" w:cs="Arial"/>
          <w:b/>
          <w:noProof/>
          <w:color w:val="000000" w:themeColor="text1"/>
          <w:sz w:val="24"/>
          <w:szCs w:val="24"/>
          <w:lang w:val="bs-Latn-BA"/>
        </w:rPr>
      </w:pPr>
      <w:r w:rsidRPr="00DC51B5">
        <w:rPr>
          <w:rFonts w:ascii="Arial" w:hAnsi="Arial" w:cs="Arial"/>
          <w:noProof/>
          <w:color w:val="000000" w:themeColor="text1"/>
          <w:sz w:val="24"/>
          <w:szCs w:val="24"/>
          <w:lang w:val="bs-Latn-BA"/>
        </w:rPr>
        <w:t>U postupku razmatranja i odlučivanja</w:t>
      </w:r>
      <w:r w:rsidRPr="00DC51B5">
        <w:rPr>
          <w:rFonts w:ascii="Arial" w:hAnsi="Arial" w:cs="Arial"/>
          <w:b/>
          <w:noProof/>
          <w:color w:val="000000" w:themeColor="text1"/>
          <w:sz w:val="24"/>
          <w:szCs w:val="24"/>
          <w:lang w:val="bs-Latn-BA"/>
        </w:rPr>
        <w:t xml:space="preserve"> </w:t>
      </w:r>
      <w:r w:rsidRPr="00DC51B5">
        <w:rPr>
          <w:rFonts w:ascii="Arial" w:hAnsi="Arial" w:cs="Arial"/>
          <w:noProof/>
          <w:color w:val="000000" w:themeColor="text1"/>
          <w:sz w:val="24"/>
          <w:szCs w:val="24"/>
          <w:lang w:val="bs-Latn-BA"/>
        </w:rPr>
        <w:t>o zahtjevu iz člana 8. ove uredbe, prvo se utvrđuje nadležnost Federalnog ministarstva za rješavanje podnešenog zahtjeva.</w:t>
      </w:r>
    </w:p>
    <w:p w:rsidR="00DC51B5" w:rsidRPr="00DC51B5" w:rsidRDefault="00DC51B5" w:rsidP="00DC51B5">
      <w:pPr>
        <w:pStyle w:val="BodyText"/>
        <w:numPr>
          <w:ilvl w:val="0"/>
          <w:numId w:val="35"/>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Ako se utvrdi da je Federalno ministarstvo nadležno, onda se utvrđuje da li zahtjev sadrži sva pitanja utvrđena u članu 69. Zakona, da li je zahtjev podnešen na propisanom obrascu iz Priloga III ove uredbe i da li su uz zahtjev priloženi svi potrebno dokazi (dokumentacija).</w:t>
      </w:r>
    </w:p>
    <w:p w:rsidR="00DC51B5" w:rsidRPr="00DC51B5" w:rsidRDefault="00DC51B5" w:rsidP="00DC51B5">
      <w:pPr>
        <w:pStyle w:val="BodyText"/>
        <w:numPr>
          <w:ilvl w:val="0"/>
          <w:numId w:val="35"/>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lastRenderedPageBreak/>
        <w:t>Ako se utvrdi da postoje određeni nedostaci u zahtjevu koji utiču na pravilno rješavanje zahtjeva, u tom slučaju se podnosiocu zahtjeva dostavlja pismena obavijest koja sadrži utvrđene nedostatke i dokumentaciju koja nedostaje i određuje optimalni rok u kojem će podnosilac zahtjeva otkloniti nedostatke i dostaviti traženu dokumentaciju Federalnom ministarstvu.</w:t>
      </w:r>
    </w:p>
    <w:p w:rsidR="00DC51B5" w:rsidRPr="00DC51B5" w:rsidRDefault="00DC51B5" w:rsidP="00DC51B5">
      <w:pPr>
        <w:pStyle w:val="BodyText"/>
        <w:numPr>
          <w:ilvl w:val="0"/>
          <w:numId w:val="35"/>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Ako podnosilac zahtjeva u roku iz stava (3) ovog člana ne postupi prema pisanom obavještenju, zahtjev se zaključkom odbacuje kao nepotpun.</w:t>
      </w:r>
    </w:p>
    <w:p w:rsidR="00DC51B5" w:rsidRPr="00DC51B5" w:rsidRDefault="00DC51B5" w:rsidP="00DC51B5">
      <w:pPr>
        <w:pStyle w:val="ListParagraph"/>
        <w:tabs>
          <w:tab w:val="left" w:pos="720"/>
        </w:tabs>
        <w:spacing w:after="0" w:line="276" w:lineRule="auto"/>
        <w:ind w:left="360"/>
        <w:rPr>
          <w:rFonts w:ascii="Arial" w:hAnsi="Arial" w:cs="Arial"/>
          <w:b/>
          <w:noProof/>
          <w:color w:val="000000" w:themeColor="text1"/>
          <w:sz w:val="24"/>
          <w:szCs w:val="24"/>
          <w:lang w:val="bs-Latn-BA"/>
        </w:rPr>
      </w:pPr>
    </w:p>
    <w:p w:rsidR="00DC51B5" w:rsidRPr="00DC51B5" w:rsidRDefault="00DC51B5" w:rsidP="00DC51B5">
      <w:pPr>
        <w:pStyle w:val="ListParagraph"/>
        <w:tabs>
          <w:tab w:val="left" w:pos="720"/>
        </w:tabs>
        <w:spacing w:after="0"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10.</w:t>
      </w:r>
    </w:p>
    <w:p w:rsidR="00DC51B5" w:rsidRPr="00DC51B5" w:rsidRDefault="00DC51B5" w:rsidP="00DC51B5">
      <w:pPr>
        <w:pStyle w:val="ListParagraph"/>
        <w:tabs>
          <w:tab w:val="left" w:pos="720"/>
        </w:tabs>
        <w:spacing w:after="0"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(Utvrđivanje projekta za koje se vrši obavezna prethodna procjena uticaja na okoliš)</w:t>
      </w:r>
    </w:p>
    <w:p w:rsidR="00DC51B5" w:rsidRPr="00DC51B5" w:rsidRDefault="00DC51B5" w:rsidP="00DC51B5">
      <w:pPr>
        <w:pStyle w:val="ListParagraph"/>
        <w:tabs>
          <w:tab w:val="left" w:pos="720"/>
        </w:tabs>
        <w:spacing w:after="0" w:line="276" w:lineRule="auto"/>
        <w:ind w:left="360"/>
        <w:jc w:val="center"/>
        <w:rPr>
          <w:rFonts w:ascii="Arial" w:hAnsi="Arial" w:cs="Arial"/>
          <w:b/>
          <w:noProof/>
          <w:color w:val="000000" w:themeColor="text1"/>
          <w:sz w:val="24"/>
          <w:szCs w:val="24"/>
          <w:lang w:val="bs-Latn-BA"/>
        </w:rPr>
      </w:pPr>
    </w:p>
    <w:p w:rsidR="00DC51B5" w:rsidRPr="00DC51B5" w:rsidRDefault="00DC51B5" w:rsidP="00DC51B5">
      <w:pPr>
        <w:pStyle w:val="BodyText"/>
        <w:numPr>
          <w:ilvl w:val="0"/>
          <w:numId w:val="38"/>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Kada se utvrdi da zahtjev iz stava (2) člana 9. ove uredbe ne sadrži nedostatke, odnosno kada se otklone nedostaci prema pisanom obavještenju iz stava (3) člana 9. ove uredbe, onda se utvrđuje da li se radi o projektu za koji je utvrđena obavezna prethodna procjene uticaja na okoliš, što se vrši prema odredbama čl. 4. i 5. ove uredbe.</w:t>
      </w:r>
    </w:p>
    <w:p w:rsidR="00DC51B5" w:rsidRPr="00DC51B5" w:rsidRDefault="00DC51B5" w:rsidP="00DC51B5">
      <w:pPr>
        <w:pStyle w:val="BodyText"/>
        <w:numPr>
          <w:ilvl w:val="0"/>
          <w:numId w:val="38"/>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 postupak se uzima zahtjev koji se odnosi na projekat za koji je predviđena obavezna prethodna procjena uticaja na okoliš i za čije je rješavanje nadležno Federalno ministarstvo.</w:t>
      </w:r>
    </w:p>
    <w:p w:rsidR="00DC51B5" w:rsidRPr="00DC51B5" w:rsidRDefault="00DC51B5" w:rsidP="00DC51B5">
      <w:pPr>
        <w:pStyle w:val="BodyText"/>
        <w:numPr>
          <w:ilvl w:val="0"/>
          <w:numId w:val="38"/>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Potreba provođenja procjene uticaja na okoliš, za projekte iz stava (2) ovog člana, vrši se prema kriterijima utvrđenim u članu 6. ove uredbe.</w:t>
      </w:r>
    </w:p>
    <w:p w:rsidR="00DC51B5" w:rsidRPr="00DC51B5" w:rsidRDefault="00DC51B5" w:rsidP="00DC51B5">
      <w:pPr>
        <w:pStyle w:val="BodyText"/>
        <w:numPr>
          <w:ilvl w:val="0"/>
          <w:numId w:val="38"/>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Ako se utvrdi da se zahtjev podnosioca zahtjeva odnosi na projekte iz Priloga II ove uredbe, u tom slučaju se postupa prema odredbama člana 7. ove uredbe, što je u skladu sa odredbom stava (2) člana 4. ove uredbe.</w:t>
      </w:r>
    </w:p>
    <w:p w:rsidR="00DC51B5" w:rsidRPr="00DC51B5" w:rsidRDefault="00DC51B5" w:rsidP="00DC51B5">
      <w:pPr>
        <w:pStyle w:val="BodyText"/>
        <w:numPr>
          <w:ilvl w:val="0"/>
          <w:numId w:val="38"/>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Ako se utvrdi da projekat iz zahtjeva stranke ne podliježe obavezi prethodne procjene uticaja na okoliš, donosi se zaključak o odbacivanju zahtjeva kao nedopušten. </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11.</w:t>
      </w:r>
    </w:p>
    <w:p w:rsidR="00DC51B5" w:rsidRPr="00DC51B5" w:rsidRDefault="00DC51B5" w:rsidP="00DC51B5">
      <w:pPr>
        <w:tabs>
          <w:tab w:val="left" w:pos="720"/>
        </w:tabs>
        <w:spacing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(Uzimanje zahtjeva stranke u rješavanje)</w:t>
      </w:r>
    </w:p>
    <w:p w:rsidR="00DC51B5" w:rsidRPr="00DC51B5" w:rsidRDefault="00DC51B5" w:rsidP="00DC51B5">
      <w:pPr>
        <w:pStyle w:val="BodyText"/>
        <w:numPr>
          <w:ilvl w:val="0"/>
          <w:numId w:val="40"/>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Kada se utvrdi da se zahtjev odnosi na projekat za koji je obavezna prethodna procjena uticaja na okoliš, podnešeni zahtjev se uzima u rješavanje.</w:t>
      </w:r>
    </w:p>
    <w:p w:rsidR="00DC51B5" w:rsidRPr="00DC51B5" w:rsidRDefault="00DC51B5" w:rsidP="00DC51B5">
      <w:pPr>
        <w:pStyle w:val="BodyText"/>
        <w:numPr>
          <w:ilvl w:val="0"/>
          <w:numId w:val="40"/>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Ovlašteno službeno lice Federalnog ministarstva razmatra podnešeni zahtjev i cjelokupnu dokumentaciju i utvrđuje da li je dokumentacija potpuna, a onda ocjenjuje ispunjenost uslova za prethodnu procjenu uticaja na okoliš. </w:t>
      </w:r>
    </w:p>
    <w:p w:rsidR="00DC51B5" w:rsidRPr="00DC51B5" w:rsidRDefault="00DC51B5" w:rsidP="00DC51B5">
      <w:pPr>
        <w:pStyle w:val="BodyText"/>
        <w:numPr>
          <w:ilvl w:val="0"/>
          <w:numId w:val="40"/>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Kada se utvrdi da je dokumentacija uredna i potpuna i da sadrži podatke za sva pitanja iz sadržaja zahtjeva koji su utvrđeni u članu 69. Zakona, onda se obavezno postupa prema članu 70. Zakona.</w:t>
      </w:r>
    </w:p>
    <w:p w:rsidR="00DC51B5" w:rsidRPr="00DC51B5" w:rsidRDefault="00DC51B5" w:rsidP="00DC51B5">
      <w:pPr>
        <w:pStyle w:val="BodyText"/>
        <w:spacing w:after="0"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lastRenderedPageBreak/>
        <w:t>Član 12.</w:t>
      </w:r>
    </w:p>
    <w:p w:rsidR="00DC51B5" w:rsidRPr="00DC51B5" w:rsidRDefault="00DC51B5" w:rsidP="00DC51B5">
      <w:pPr>
        <w:pStyle w:val="BodyText"/>
        <w:spacing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(Postupak utvrđivanja konačne ocjene ispunjenosti uslova za prethodnu procjenu uticaja)</w:t>
      </w:r>
    </w:p>
    <w:p w:rsidR="00DC51B5" w:rsidRPr="00DC51B5" w:rsidRDefault="00DC51B5" w:rsidP="00DC51B5">
      <w:pPr>
        <w:pStyle w:val="BodyText"/>
        <w:numPr>
          <w:ilvl w:val="0"/>
          <w:numId w:val="44"/>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Kada se, u skladu sa članom 70. Zakona, prikupe mišljenja subjekata iz te zakonske odredbe, onda se vrši ocjena valjanosti dostavljenih mišljenja i na osnovu ocjene ispunjenosti uslova za prethodnu procjenu uticaja na okoliš iz člana 11. ove uredbe, vrši se konačna ocjena ispunjenosti uslova za prethodnu procjenu uticaja na okoliš.</w:t>
      </w:r>
    </w:p>
    <w:p w:rsidR="00DC51B5" w:rsidRPr="00DC51B5" w:rsidRDefault="00DC51B5" w:rsidP="00DC51B5">
      <w:pPr>
        <w:pStyle w:val="BodyText"/>
        <w:numPr>
          <w:ilvl w:val="0"/>
          <w:numId w:val="44"/>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Ispunjenost uslova za prethodnu procjenu uticaja na okoliš iz stava (1) ovog člana, vrši se  na osnovu ček liste koja se nalazi u Prilogu V. ove uredbe i čini sastavni dio ove uredbe.</w:t>
      </w:r>
    </w:p>
    <w:p w:rsidR="00DC51B5" w:rsidRPr="00DC51B5" w:rsidRDefault="00DC51B5" w:rsidP="00DC51B5">
      <w:pPr>
        <w:pStyle w:val="BodyText"/>
        <w:numPr>
          <w:ilvl w:val="0"/>
          <w:numId w:val="44"/>
        </w:numPr>
        <w:tabs>
          <w:tab w:val="left" w:pos="720"/>
        </w:tabs>
        <w:spacing w:after="0" w:line="276" w:lineRule="auto"/>
        <w:jc w:val="both"/>
        <w:rPr>
          <w:rFonts w:ascii="Arial" w:hAnsi="Arial" w:cs="Arial"/>
          <w:b/>
          <w:noProof/>
          <w:color w:val="000000" w:themeColor="text1"/>
          <w:sz w:val="24"/>
          <w:szCs w:val="24"/>
          <w:lang w:val="bs-Latn-BA"/>
        </w:rPr>
      </w:pPr>
      <w:r w:rsidRPr="00DC51B5">
        <w:rPr>
          <w:rFonts w:ascii="Arial" w:hAnsi="Arial" w:cs="Arial"/>
          <w:noProof/>
          <w:color w:val="000000" w:themeColor="text1"/>
          <w:sz w:val="24"/>
          <w:szCs w:val="24"/>
          <w:lang w:val="bs-Latn-BA"/>
        </w:rPr>
        <w:t>Sve procesne radnje koje nisu regulisane Zakonom i ovom uredbom, provode se u skladu sa odredbama Zakona o upravnom postupku („Službene novine Federacije BiH“, br. 2/98 i 48/99).</w:t>
      </w:r>
    </w:p>
    <w:p w:rsidR="00DC51B5" w:rsidRPr="00DC51B5" w:rsidRDefault="00DC51B5" w:rsidP="00DC51B5">
      <w:pPr>
        <w:pStyle w:val="ListParagraph"/>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pStyle w:val="ListParagraph"/>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13.</w:t>
      </w:r>
    </w:p>
    <w:p w:rsidR="00DC51B5" w:rsidRPr="00DC51B5" w:rsidRDefault="00DC51B5" w:rsidP="00DC51B5">
      <w:pPr>
        <w:pStyle w:val="ListParagraph"/>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(Donošenje rješenja o prethodnoj procjeni uticaja na okoliš)</w:t>
      </w:r>
    </w:p>
    <w:p w:rsidR="00DC51B5" w:rsidRPr="00DC51B5" w:rsidRDefault="00DC51B5" w:rsidP="00DC51B5">
      <w:pPr>
        <w:pStyle w:val="ListParagraph"/>
        <w:tabs>
          <w:tab w:val="left" w:pos="720"/>
        </w:tabs>
        <w:spacing w:after="0" w:line="276" w:lineRule="auto"/>
        <w:jc w:val="center"/>
        <w:rPr>
          <w:rFonts w:ascii="Arial" w:hAnsi="Arial" w:cs="Arial"/>
          <w:b/>
          <w:noProof/>
          <w:color w:val="000000" w:themeColor="text1"/>
          <w:sz w:val="24"/>
          <w:szCs w:val="24"/>
          <w:lang w:val="bs-Latn-BA"/>
        </w:rPr>
      </w:pPr>
    </w:p>
    <w:p w:rsidR="00DC51B5" w:rsidRPr="00DC51B5" w:rsidRDefault="00DC51B5" w:rsidP="00DC51B5">
      <w:pPr>
        <w:pStyle w:val="BodyText"/>
        <w:numPr>
          <w:ilvl w:val="0"/>
          <w:numId w:val="43"/>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Nakon provedenog postupka i utvrđenog činjeničnog stanja, prema čl. 11. i 12. ove uredbe, donosi se rješenje o prethodnoj procjeni uticaja na okoliš. </w:t>
      </w:r>
    </w:p>
    <w:p w:rsidR="00DC51B5" w:rsidRPr="00DC51B5" w:rsidRDefault="00DC51B5" w:rsidP="00DC51B5">
      <w:pPr>
        <w:pStyle w:val="BodyText"/>
        <w:numPr>
          <w:ilvl w:val="0"/>
          <w:numId w:val="43"/>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U skladu sa odredbama stava (1) ovog člana, odluka može biti sljedeća:</w:t>
      </w:r>
    </w:p>
    <w:p w:rsidR="00DC51B5" w:rsidRPr="00DC51B5" w:rsidRDefault="00DC51B5" w:rsidP="00DC51B5">
      <w:pPr>
        <w:pStyle w:val="BodyText"/>
        <w:numPr>
          <w:ilvl w:val="0"/>
          <w:numId w:val="41"/>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da na osnovu prethodno provedene procjene uticaja na okoliš nije potrebno dalje provođenje ocjene uticaja na okoliš, ili</w:t>
      </w:r>
    </w:p>
    <w:p w:rsidR="00DC51B5" w:rsidRPr="00DC51B5" w:rsidRDefault="00DC51B5" w:rsidP="00DC51B5">
      <w:pPr>
        <w:pStyle w:val="BodyText"/>
        <w:numPr>
          <w:ilvl w:val="0"/>
          <w:numId w:val="41"/>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da se utvrdi da je obavezno provođenje procjene uticaja na okoliš, te se određuje obaveza izrade Studije o procjeni uticaja na okoliš i određuju obim i sadržaj studije.</w:t>
      </w:r>
    </w:p>
    <w:p w:rsidR="00DC51B5" w:rsidRPr="00DC51B5" w:rsidRDefault="00DC51B5" w:rsidP="00DC51B5">
      <w:pPr>
        <w:pStyle w:val="BodyText"/>
        <w:spacing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14.</w:t>
      </w:r>
    </w:p>
    <w:p w:rsidR="00DC51B5" w:rsidRPr="00DC51B5" w:rsidRDefault="00DC51B5" w:rsidP="00DC51B5">
      <w:pPr>
        <w:pStyle w:val="BodyText"/>
        <w:spacing w:line="276" w:lineRule="auto"/>
        <w:ind w:left="360"/>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(Način odlučivanja o donošenju rješenja za prethodnu procjenu uticaja na okoliš)</w:t>
      </w:r>
    </w:p>
    <w:p w:rsidR="00DC51B5" w:rsidRPr="00DC51B5" w:rsidRDefault="00DC51B5" w:rsidP="00DC51B5">
      <w:pPr>
        <w:pStyle w:val="BodyText"/>
        <w:numPr>
          <w:ilvl w:val="0"/>
          <w:numId w:val="4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Rješenje na osnovu odluke iz člana 13. stav (2) tačka a) ove uredbe donosi se za slučaj kada je na osnovu izvedenih dokaza utvrđeno da je prethodna procjena uticaja obuhvatila sva pitanja koja su predviđena u odredbama čl. 64. do 70. Zakona i odredbama čl. 4. do 7. ove uredbe i da nije potrebno dalje provođenje ocjene uticaja na okoliš za projekte iz Priloga II ove uredbe. </w:t>
      </w:r>
    </w:p>
    <w:p w:rsidR="00DC51B5" w:rsidRPr="00DC51B5" w:rsidRDefault="00DC51B5" w:rsidP="00DC51B5">
      <w:pPr>
        <w:pStyle w:val="BodyText"/>
        <w:numPr>
          <w:ilvl w:val="0"/>
          <w:numId w:val="4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Rješenje na osnovu odluke iz člana 13. stav (2) tačka b) ove uredbe donosi se za projekte iz Priloga I ove uredbe i za projekte iz Priloga II ove uredbe u slučaju kada se na osnovu izvedenih dokaza utvrdi da je potrebno obavezno provođenje procjene uticaja putem izrade studije o procjeni uticaja na okoliš. Obim studije se određuje </w:t>
      </w:r>
      <w:r w:rsidRPr="00DC51B5">
        <w:rPr>
          <w:rFonts w:ascii="Arial" w:hAnsi="Arial" w:cs="Arial"/>
          <w:noProof/>
          <w:color w:val="000000" w:themeColor="text1"/>
          <w:sz w:val="24"/>
          <w:szCs w:val="24"/>
          <w:lang w:val="bs-Latn-BA"/>
        </w:rPr>
        <w:lastRenderedPageBreak/>
        <w:t xml:space="preserve">prema članu 72. stav (1) i postupa prema odredbama člana 72. st. (2) do (4) Zakona.  .  </w:t>
      </w:r>
    </w:p>
    <w:p w:rsidR="00DC51B5" w:rsidRPr="00DC51B5" w:rsidRDefault="00DC51B5" w:rsidP="00DC51B5">
      <w:pPr>
        <w:pStyle w:val="BodyText"/>
        <w:numPr>
          <w:ilvl w:val="0"/>
          <w:numId w:val="4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 xml:space="preserve">Izrada i ocjena studije o procjeni uticaja iz stava (2) ovog člana, vrši se prema odredbama čl. 73. do 80. Zakona i propisima federalnog ministra okoliša i turizma koji se donose na osnovu člana 73. stav (2), člana 74. stav (1) i člana 78. stav (2)  Zakona. </w:t>
      </w:r>
    </w:p>
    <w:p w:rsidR="00DC51B5" w:rsidRPr="00DC51B5" w:rsidRDefault="00DC51B5" w:rsidP="00DC51B5">
      <w:pPr>
        <w:pStyle w:val="BodyText"/>
        <w:numPr>
          <w:ilvl w:val="0"/>
          <w:numId w:val="42"/>
        </w:numPr>
        <w:spacing w:line="276" w:lineRule="auto"/>
        <w:jc w:val="both"/>
        <w:rPr>
          <w:rFonts w:ascii="Arial" w:hAnsi="Arial" w:cs="Arial"/>
          <w:noProof/>
          <w:color w:val="000000" w:themeColor="text1"/>
          <w:sz w:val="24"/>
          <w:szCs w:val="24"/>
          <w:lang w:val="bs-Latn-BA"/>
        </w:rPr>
      </w:pPr>
      <w:r w:rsidRPr="00DC51B5">
        <w:rPr>
          <w:rFonts w:ascii="Arial" w:hAnsi="Arial" w:cs="Arial"/>
          <w:noProof/>
          <w:color w:val="000000" w:themeColor="text1"/>
          <w:sz w:val="24"/>
          <w:szCs w:val="24"/>
          <w:lang w:val="bs-Latn-BA"/>
        </w:rPr>
        <w:t>Federalno ministarstvo donešeno rješenje iz člana 13. stav (1) ove uredbe, dostavlja podnosiocu zahtjeva, a primjerak rješenja postavlja na internet stranici Federalnog ministarstva, kako je utvrđeno u članu 72. stav (4) Zakona.</w:t>
      </w: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jc w:val="both"/>
        <w:rPr>
          <w:rFonts w:ascii="Arial" w:hAnsi="Arial" w:cs="Arial"/>
          <w:b/>
          <w:noProof/>
          <w:color w:val="000000" w:themeColor="text1"/>
          <w:lang w:val="bs-Latn-BA"/>
        </w:rPr>
      </w:pPr>
      <w:r w:rsidRPr="00DC51B5">
        <w:rPr>
          <w:rFonts w:ascii="Arial" w:hAnsi="Arial" w:cs="Arial"/>
          <w:b/>
          <w:noProof/>
          <w:color w:val="000000" w:themeColor="text1"/>
          <w:lang w:val="bs-Latn-BA"/>
        </w:rPr>
        <w:t>POGLAVLJE IV.</w:t>
      </w:r>
      <w:r w:rsidRPr="00DC51B5">
        <w:rPr>
          <w:rFonts w:ascii="Arial" w:hAnsi="Arial" w:cs="Arial"/>
          <w:noProof/>
          <w:color w:val="000000" w:themeColor="text1"/>
          <w:lang w:val="bs-Latn-BA"/>
        </w:rPr>
        <w:t xml:space="preserve"> </w:t>
      </w:r>
      <w:r w:rsidRPr="00DC51B5">
        <w:rPr>
          <w:rFonts w:ascii="Arial" w:hAnsi="Arial" w:cs="Arial"/>
          <w:b/>
          <w:noProof/>
          <w:color w:val="000000" w:themeColor="text1"/>
          <w:lang w:val="bs-Latn-BA"/>
        </w:rPr>
        <w:t xml:space="preserve">POSTUPAK PROCJENE UTICAJA NA OKOLIŠ (II FAZA - STUDIJA) </w:t>
      </w:r>
    </w:p>
    <w:p w:rsidR="00DC51B5" w:rsidRPr="00DC51B5" w:rsidRDefault="00DC51B5" w:rsidP="00DC51B5">
      <w:pPr>
        <w:pStyle w:val="BodyText"/>
        <w:spacing w:line="276" w:lineRule="auto"/>
        <w:jc w:val="both"/>
        <w:rPr>
          <w:rFonts w:ascii="Arial" w:hAnsi="Arial" w:cs="Arial"/>
          <w:noProof/>
          <w:color w:val="000000" w:themeColor="text1"/>
          <w:lang w:val="bs-Latn-BA"/>
        </w:rPr>
      </w:pPr>
    </w:p>
    <w:p w:rsidR="00DC51B5" w:rsidRPr="00DC51B5" w:rsidRDefault="00DC51B5" w:rsidP="00DC51B5">
      <w:pPr>
        <w:spacing w:line="276" w:lineRule="auto"/>
        <w:jc w:val="center"/>
        <w:rPr>
          <w:rFonts w:ascii="Arial" w:hAnsi="Arial" w:cs="Arial"/>
          <w:b/>
          <w:noProof/>
          <w:color w:val="000000" w:themeColor="text1"/>
          <w:lang w:val="bs-Latn-BA"/>
        </w:rPr>
      </w:pPr>
      <w:r w:rsidRPr="00DC51B5">
        <w:rPr>
          <w:rFonts w:ascii="Arial" w:hAnsi="Arial" w:cs="Arial"/>
          <w:b/>
          <w:noProof/>
          <w:color w:val="000000" w:themeColor="text1"/>
          <w:lang w:val="bs-Latn-BA"/>
        </w:rPr>
        <w:t>Član 15.</w:t>
      </w:r>
    </w:p>
    <w:p w:rsidR="00DC51B5" w:rsidRPr="00DC51B5" w:rsidRDefault="00DC51B5" w:rsidP="00DC51B5">
      <w:pPr>
        <w:spacing w:line="276" w:lineRule="auto"/>
        <w:jc w:val="center"/>
        <w:rPr>
          <w:rFonts w:ascii="Arial" w:hAnsi="Arial" w:cs="Arial"/>
          <w:b/>
          <w:noProof/>
          <w:color w:val="000000" w:themeColor="text1"/>
          <w:lang w:val="bs-Latn-BA"/>
        </w:rPr>
      </w:pPr>
      <w:r w:rsidRPr="00DC51B5">
        <w:rPr>
          <w:rFonts w:ascii="Arial" w:hAnsi="Arial" w:cs="Arial"/>
          <w:b/>
          <w:noProof/>
          <w:color w:val="000000" w:themeColor="text1"/>
          <w:lang w:val="bs-Latn-BA"/>
        </w:rPr>
        <w:t>(Studija o procjeni uticaja na okoliš)</w:t>
      </w:r>
    </w:p>
    <w:p w:rsidR="00DC51B5" w:rsidRPr="00DC51B5" w:rsidRDefault="00DC51B5" w:rsidP="00DC51B5">
      <w:pPr>
        <w:pStyle w:val="ListParagraph"/>
        <w:numPr>
          <w:ilvl w:val="0"/>
          <w:numId w:val="45"/>
        </w:num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Postupak procjene uticaja na okoliš za projekte iz Priloga I ove uredbe i projekte za koje je utvđeno da je potrebno obavezno provođenje procjene uticaja putem izrade studije o procjeni uticaja na okoliš za koje je izdato rješenje iz stava (2) člana 14., provodi se po odredbama čl. 72. do 81. Zakona i odredbama ove uredbe.</w:t>
      </w:r>
    </w:p>
    <w:p w:rsidR="00DC51B5" w:rsidRPr="00DC51B5" w:rsidRDefault="00DC51B5" w:rsidP="00DC51B5">
      <w:pPr>
        <w:pStyle w:val="BodyText"/>
        <w:numPr>
          <w:ilvl w:val="0"/>
          <w:numId w:val="45"/>
        </w:numPr>
        <w:spacing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Sadržaj Studije o procjeni uticaja na okoliš utvrđuje se propisom koji donosi Federalno ministarstvo u skladu sa stavom (1) člana 74. Zakona.</w:t>
      </w: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POGLAVLJE V. PRELAZNE I ZAVRŠNE ODREDBE</w:t>
      </w: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 xml:space="preserve"> </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16.</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(Okončanje postupaka započetih prije stupanja na snagu Zakona)</w:t>
      </w:r>
    </w:p>
    <w:p w:rsidR="00DC51B5" w:rsidRPr="00DC51B5" w:rsidRDefault="00DC51B5" w:rsidP="00DC51B5">
      <w:pPr>
        <w:tabs>
          <w:tab w:val="left" w:pos="720"/>
        </w:tabs>
        <w:spacing w:after="0" w:line="276" w:lineRule="auto"/>
        <w:rPr>
          <w:rFonts w:ascii="Arial" w:hAnsi="Arial" w:cs="Arial"/>
          <w:b/>
          <w:noProof/>
          <w:color w:val="000000" w:themeColor="text1"/>
          <w:sz w:val="24"/>
          <w:szCs w:val="24"/>
          <w:lang w:val="bs-Latn-BA"/>
        </w:rPr>
      </w:pPr>
    </w:p>
    <w:p w:rsidR="00DC51B5" w:rsidRPr="00DC51B5" w:rsidRDefault="00DC51B5" w:rsidP="00DC51B5">
      <w:pPr>
        <w:spacing w:line="276" w:lineRule="auto"/>
        <w:ind w:firstLine="720"/>
        <w:jc w:val="both"/>
        <w:rPr>
          <w:color w:val="000000" w:themeColor="text1"/>
          <w:sz w:val="24"/>
          <w:szCs w:val="24"/>
          <w:lang w:val="bs-Latn-BA"/>
        </w:rPr>
      </w:pPr>
      <w:r w:rsidRPr="00DC51B5">
        <w:rPr>
          <w:rFonts w:ascii="Arial" w:hAnsi="Arial" w:cs="Arial"/>
          <w:color w:val="000000" w:themeColor="text1"/>
          <w:sz w:val="24"/>
          <w:szCs w:val="24"/>
          <w:lang w:val="bs-Latn-BA"/>
        </w:rPr>
        <w:t>Postupci započeti u Federalnom ministarstvu prije stupanja na snagu Zakona, biće okončani u skladu sa Pravilnikom o pogonima i postrojenjima za koje je obavezna procjena uticaja na okoliš i pogonima i postrojenjima koji mogu biti izgrađeni i pušteni u rad samo ako imaju okolinsku dozvolu  („Službene novine Federacije BiH“,  broj 19/04 i 1/21), što je u skladu sa odredbom člana 146. stav (6) Zakona.</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Član 17.</w:t>
      </w:r>
    </w:p>
    <w:p w:rsidR="00DC51B5" w:rsidRPr="00DC51B5" w:rsidRDefault="00DC51B5" w:rsidP="00DC51B5">
      <w:pPr>
        <w:tabs>
          <w:tab w:val="left" w:pos="720"/>
        </w:tabs>
        <w:spacing w:after="0" w:line="276" w:lineRule="auto"/>
        <w:jc w:val="center"/>
        <w:rPr>
          <w:rFonts w:ascii="Arial" w:hAnsi="Arial" w:cs="Arial"/>
          <w:b/>
          <w:noProof/>
          <w:color w:val="000000" w:themeColor="text1"/>
          <w:sz w:val="24"/>
          <w:szCs w:val="24"/>
          <w:lang w:val="bs-Latn-BA"/>
        </w:rPr>
      </w:pPr>
      <w:r w:rsidRPr="00DC51B5">
        <w:rPr>
          <w:rFonts w:ascii="Arial" w:hAnsi="Arial" w:cs="Arial"/>
          <w:b/>
          <w:noProof/>
          <w:color w:val="000000" w:themeColor="text1"/>
          <w:sz w:val="24"/>
          <w:szCs w:val="24"/>
          <w:lang w:val="bs-Latn-BA"/>
        </w:rPr>
        <w:t>(Stupanje na snagu)</w:t>
      </w:r>
    </w:p>
    <w:p w:rsidR="00DC51B5" w:rsidRPr="00DC51B5" w:rsidRDefault="00DC51B5" w:rsidP="00DC51B5">
      <w:pPr>
        <w:tabs>
          <w:tab w:val="left" w:pos="720"/>
        </w:tabs>
        <w:spacing w:after="0" w:line="276" w:lineRule="auto"/>
        <w:jc w:val="center"/>
        <w:rPr>
          <w:color w:val="000000" w:themeColor="text1"/>
          <w:sz w:val="24"/>
          <w:szCs w:val="24"/>
          <w:lang w:val="bs-Latn-BA"/>
        </w:rPr>
      </w:pPr>
    </w:p>
    <w:p w:rsidR="00DC51B5" w:rsidRPr="00DC51B5" w:rsidRDefault="00DC51B5" w:rsidP="00DC51B5">
      <w:pPr>
        <w:pStyle w:val="NoSpacing"/>
        <w:spacing w:after="240" w:line="276" w:lineRule="auto"/>
        <w:ind w:firstLine="720"/>
        <w:jc w:val="both"/>
        <w:rPr>
          <w:rFonts w:ascii="Arial" w:hAnsi="Arial" w:cs="Arial"/>
          <w:color w:val="000000" w:themeColor="text1"/>
          <w:sz w:val="24"/>
          <w:szCs w:val="24"/>
          <w:lang w:val="bs-Latn-BA"/>
        </w:rPr>
      </w:pPr>
      <w:r w:rsidRPr="00DC51B5">
        <w:rPr>
          <w:rFonts w:ascii="Arial" w:hAnsi="Arial" w:cs="Arial"/>
          <w:color w:val="000000" w:themeColor="text1"/>
          <w:sz w:val="24"/>
          <w:szCs w:val="24"/>
          <w:lang w:val="bs-Latn-BA"/>
        </w:rPr>
        <w:t xml:space="preserve">Ova uredba stupa na snagu osmog dana od dana objavljivanja u “Službenim novinama Federacije BiH”. </w:t>
      </w:r>
    </w:p>
    <w:p w:rsidR="00DC51B5" w:rsidRPr="00DC51B5" w:rsidRDefault="00DC51B5" w:rsidP="00DC51B5">
      <w:pPr>
        <w:pStyle w:val="Heading6"/>
        <w:spacing w:line="276" w:lineRule="auto"/>
        <w:rPr>
          <w:rFonts w:ascii="Arial" w:hAnsi="Arial" w:cs="Arial"/>
          <w:color w:val="000000" w:themeColor="text1"/>
          <w:szCs w:val="24"/>
          <w:lang w:val="bs-Latn-BA"/>
        </w:rPr>
      </w:pPr>
    </w:p>
    <w:p w:rsidR="00DC51B5" w:rsidRPr="00DC51B5" w:rsidRDefault="00DC51B5" w:rsidP="00DC51B5">
      <w:pPr>
        <w:ind w:left="6480" w:firstLine="720"/>
        <w:rPr>
          <w:color w:val="000000" w:themeColor="text1"/>
          <w:sz w:val="24"/>
          <w:szCs w:val="24"/>
          <w:lang w:val="bs-Latn-BA"/>
        </w:rPr>
      </w:pPr>
      <w:r w:rsidRPr="00DC51B5">
        <w:rPr>
          <w:color w:val="000000" w:themeColor="text1"/>
          <w:sz w:val="24"/>
          <w:szCs w:val="24"/>
          <w:lang w:val="bs-Latn-BA"/>
        </w:rPr>
        <w:t>Premijer</w:t>
      </w:r>
    </w:p>
    <w:p w:rsidR="00DC51B5" w:rsidRPr="00DC51B5" w:rsidRDefault="00DC51B5" w:rsidP="00DC51B5">
      <w:pPr>
        <w:rPr>
          <w:color w:val="000000" w:themeColor="text1"/>
          <w:sz w:val="24"/>
          <w:szCs w:val="24"/>
          <w:lang w:val="bs-Latn-BA"/>
        </w:rPr>
      </w:pPr>
      <w:r w:rsidRPr="00DC51B5">
        <w:rPr>
          <w:color w:val="000000" w:themeColor="text1"/>
          <w:sz w:val="24"/>
          <w:szCs w:val="24"/>
          <w:lang w:val="bs-Latn-BA"/>
        </w:rPr>
        <w:lastRenderedPageBreak/>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t>_____________________</w:t>
      </w:r>
    </w:p>
    <w:p w:rsidR="00DC51B5" w:rsidRPr="00DC51B5" w:rsidRDefault="00DC51B5" w:rsidP="00DC51B5">
      <w:pPr>
        <w:rPr>
          <w:color w:val="000000" w:themeColor="text1"/>
          <w:sz w:val="24"/>
          <w:szCs w:val="24"/>
          <w:lang w:val="bs-Latn-BA"/>
        </w:rPr>
      </w:pPr>
      <w:r w:rsidRPr="00DC51B5">
        <w:rPr>
          <w:color w:val="000000" w:themeColor="text1"/>
          <w:sz w:val="24"/>
          <w:szCs w:val="24"/>
          <w:lang w:val="bs-Latn-BA"/>
        </w:rPr>
        <w:t xml:space="preserve">V. broj _________________       </w:t>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r>
      <w:r w:rsidRPr="00DC51B5">
        <w:rPr>
          <w:color w:val="000000" w:themeColor="text1"/>
          <w:sz w:val="24"/>
          <w:szCs w:val="24"/>
          <w:lang w:val="bs-Latn-BA"/>
        </w:rPr>
        <w:tab/>
        <w:t xml:space="preserve">        (ime i prezime)</w:t>
      </w:r>
    </w:p>
    <w:p w:rsidR="00DC51B5" w:rsidRPr="00DC51B5" w:rsidRDefault="00DC51B5" w:rsidP="00DC51B5">
      <w:pPr>
        <w:rPr>
          <w:color w:val="000000" w:themeColor="text1"/>
          <w:lang w:val="bs-Latn-BA"/>
        </w:rPr>
      </w:pPr>
      <w:r w:rsidRPr="00DC51B5">
        <w:rPr>
          <w:color w:val="000000" w:themeColor="text1"/>
          <w:lang w:val="bs-Latn-BA"/>
        </w:rPr>
        <w:t>Datum __________________ 2021. godine</w:t>
      </w:r>
    </w:p>
    <w:p w:rsidR="00DC51B5" w:rsidRPr="00DC51B5" w:rsidRDefault="00DC51B5" w:rsidP="00DC51B5">
      <w:pPr>
        <w:rPr>
          <w:color w:val="000000" w:themeColor="text1"/>
          <w:lang w:val="bs-Latn-BA"/>
        </w:rPr>
      </w:pPr>
      <w:r w:rsidRPr="00DC51B5">
        <w:rPr>
          <w:color w:val="000000" w:themeColor="text1"/>
          <w:lang w:val="bs-Latn-BA"/>
        </w:rPr>
        <w:t xml:space="preserve">Sarajevo                                                                                                                          </w:t>
      </w:r>
    </w:p>
    <w:p w:rsidR="00DC51B5" w:rsidRPr="00DC51B5" w:rsidRDefault="00DC51B5" w:rsidP="00DC51B5">
      <w:pPr>
        <w:rPr>
          <w:color w:val="000000" w:themeColor="text1"/>
          <w:lang w:val="bs-Latn-BA"/>
        </w:rPr>
      </w:pP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PRILOG I.</w:t>
      </w: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PROJEKTI ZA KOJE SE OBAVEZNO PROVODI PROCJENA UTICAJA NA OKOLIŠ</w:t>
      </w:r>
    </w:p>
    <w:p w:rsidR="00DC51B5" w:rsidRPr="00DC51B5" w:rsidRDefault="00DC51B5" w:rsidP="00DC51B5">
      <w:pPr>
        <w:jc w:val="center"/>
        <w:rPr>
          <w:rFonts w:ascii="Arial" w:hAnsi="Arial" w:cs="Arial"/>
          <w:b/>
          <w:noProof/>
          <w:color w:val="000000" w:themeColor="text1"/>
          <w:lang w:val="bs-Latn-BA"/>
        </w:rPr>
      </w:pPr>
    </w:p>
    <w:tbl>
      <w:tblPr>
        <w:tblStyle w:val="TableGrid"/>
        <w:tblW w:w="0" w:type="auto"/>
        <w:tblLook w:val="04A0" w:firstRow="1" w:lastRow="0" w:firstColumn="1" w:lastColumn="0" w:noHBand="0" w:noVBand="1"/>
      </w:tblPr>
      <w:tblGrid>
        <w:gridCol w:w="625"/>
        <w:gridCol w:w="8725"/>
      </w:tblGrid>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Rafinerije sirove nafte (isključujući pogone koja proizvode samo maziva od  sirove nafte)</w:t>
            </w:r>
          </w:p>
          <w:p w:rsidR="00DC51B5" w:rsidRPr="00DC51B5" w:rsidRDefault="00DC51B5" w:rsidP="00634878">
            <w:pPr>
              <w:rPr>
                <w:rFonts w:ascii="Arial" w:hAnsi="Arial" w:cs="Arial"/>
                <w:b/>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pretvaranje u plin i tekućinu 500 ili više tona uglja ili bitumenskog škriljevca na dan</w:t>
            </w:r>
          </w:p>
          <w:p w:rsidR="00DC51B5" w:rsidRPr="00DC51B5" w:rsidRDefault="00DC51B5" w:rsidP="00634878">
            <w:pPr>
              <w:rPr>
                <w:rFonts w:ascii="Arial" w:hAnsi="Arial" w:cs="Arial"/>
                <w:b/>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3.</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Termoelektrane i ostala postrojenja na sagorjevanje, toplotne snage 300 MW  ili više</w:t>
            </w:r>
          </w:p>
          <w:p w:rsidR="00DC51B5" w:rsidRPr="00DC51B5" w:rsidRDefault="00DC51B5" w:rsidP="00634878">
            <w:pPr>
              <w:rPr>
                <w:rFonts w:ascii="Arial" w:hAnsi="Arial" w:cs="Arial"/>
                <w:b/>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4.</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Nuklearne elektrane i ostali nuklearni reaktori uključujući i postupke stavljanja izvan pogona i zatvaranja takvih nuklearnih elektrana ili reaktora (s izuzetkom istraživačkih postrojenja za proizvodnju i preradu fisijskih i plodnih materijala, čija maksimalna snaga ne prelazi 1 KW kontinuiranog termičkog opterećenja). </w:t>
            </w:r>
          </w:p>
          <w:p w:rsidR="00DC51B5" w:rsidRPr="00DC51B5" w:rsidRDefault="00DC51B5" w:rsidP="00634878">
            <w:pPr>
              <w:rPr>
                <w:rFonts w:ascii="Arial" w:hAnsi="Arial" w:cs="Arial"/>
                <w:b/>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5.</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ponovnu preradu ozračenog nuklearnog goriva</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6. </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i. za proizvodnju ili obogaćivanje nuklearnog goriva;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ii. za preradu ozračenog nuklearnog goriva ili visoko radioaktivnog otpada;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iii. za konačno odlaganje ozračenog nuklearnog goriva;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iv. isključivo za konačno odlaganje radioaktivnog otpada;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v. isključivo za skladištenje (planirano na duže od 10 godina) ozračenih nuklearnih goriva ili radioaktivnog otpada na drugoj lokaciji u odnosu na lokaciju proizvodnje. </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7.</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Integrirani radovi početnog topljenja lijevanog željeza i čelika</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8.</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proizvodnju obojenih sirovih metala iz željezne rude, koncentrata ili sekundarnih sirovina metalurškim, hemijskim ili elektrolitičkim postupcima</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9.</w:t>
            </w:r>
          </w:p>
        </w:tc>
        <w:tc>
          <w:tcPr>
            <w:tcW w:w="8725" w:type="dxa"/>
          </w:tcPr>
          <w:p w:rsidR="00DC51B5" w:rsidRPr="00DC51B5" w:rsidRDefault="00DC51B5" w:rsidP="00634878">
            <w:pPr>
              <w:rPr>
                <w:rFonts w:ascii="Arial" w:hAnsi="Arial" w:cs="Arial"/>
                <w:b/>
                <w:noProof/>
                <w:color w:val="000000" w:themeColor="text1"/>
                <w:lang w:val="bs-Latn-BA"/>
              </w:rPr>
            </w:pPr>
            <w:r w:rsidRPr="00DC51B5">
              <w:rPr>
                <w:rFonts w:ascii="Arial" w:hAnsi="Arial" w:cs="Arial"/>
                <w:noProof/>
                <w:color w:val="000000" w:themeColor="text1"/>
                <w:lang w:val="bs-Latn-BA"/>
              </w:rPr>
              <w:t>Postrojenja za vađenje azbesta i za preradu i modifikaciju azbesta i proizvoda koji sadrže azbest: za azbestno-cementne proizvode sa godišnjom proizvodnjom od preko 20.000 tona gotovih proizvoda, za frikcioni materijal sa godišnjom proizvodnjom od preko 50 tona gotovih proizvoda te za ostale upotrebe azbesta uz iskorištavanje više od 200 tona godišnje</w:t>
            </w: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10.</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Integrirana hemijska postrojenja, tj. postrojenja za industrijsku proizvodnju materija postupkom hemijske konverzije, u kojima je nekoliko jedinica funkcionalno povezanih jedna s drugom postavljeno jedna uz drugu i koje služe: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 za proizvodnju osnovnih organskih hemikalija;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(b) za proizvodnju osnovnih anorganskih hemikalija;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(c) za proizvodnju gnojiva na bazi fosfora, azota i kalijuma (obična ili kombinirana gnojiva);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 xml:space="preserve">(d) za proizvodnju osnovnih proizvoda za zaštitu zdravlja biljaka i biocida;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(e) za proizvodnju osnovnih farmaceutskih proizvoda hemijskim ili biološkim postupkom;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(f) za proizvodnju eksploziva. </w:t>
            </w:r>
          </w:p>
          <w:p w:rsidR="00DC51B5" w:rsidRPr="00DC51B5" w:rsidRDefault="00DC51B5" w:rsidP="00634878">
            <w:pPr>
              <w:rPr>
                <w:rFonts w:ascii="Arial" w:hAnsi="Arial" w:cs="Arial"/>
                <w:b/>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11.</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Izgradnja pruga za željeznički saobraćaj na duge relacije</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12.</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Izgradnja aerodroma  s osnovnom dužinom piste od 2.100 m ili više</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13.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Izgradnja nove ceste s četiri ili više saobraćajnih traka, ili ponovno izravnavanje i/ili proširivanje postojeće ceste s dvije ili manje saobraćajne trake u cestu s četiri ili više saobraćajnih traka ako dužina takve nove ceste ili ponovno izravnane i/ili proširene dionice ceste u kontinuitetu iznosi 10 kilometara ili više</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14.</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Unutrašnji plovni putevi i luke unutrašnje plovidbe kojima mogu ploviti brodovi iznad 1.350 tona</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15.</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Trgovačke luke, pristaništa za utovar i istovar koji su povezani s kopnom i vanjskim lukama (osim trajektnih  pristaništa) i koji mogu prihvatiti  brodove iznad 1.350 tona. </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16. </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spaljivanje, hemijska obradu ili trajno odlaganje opasnog otpada</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17. </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spaljivanje i suspaljivanje, hemijsku obradu ili trajno odlaganje neopasnog otpada u količini iznad 50 tona dnevno</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18. </w:t>
            </w:r>
          </w:p>
        </w:tc>
        <w:tc>
          <w:tcPr>
            <w:tcW w:w="87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Postrojenja za odlaganje otpada spaljivanjem ili hemijskom obradom bezopasnog otpada, kapaciteta iznad 100 tona dnevno.</w:t>
            </w: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19.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Vađenje podzemne vode ili sistem vještačkog ubrizgavanja podzemne vode s godišnjim volumenom izvađene ili ponovno napunjene podzemne vode od 10 miliona kubnih metara ili većim. </w:t>
            </w:r>
          </w:p>
          <w:p w:rsidR="00DC51B5" w:rsidRPr="00DC51B5" w:rsidRDefault="00DC51B5" w:rsidP="00634878">
            <w:pPr>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20.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Radovi za prebacivanje vodnih resursa iz jednog u drugi riječni sliv s ciljem da se tim prebacivanjem spriječi eventualna nestašica vode, ako količina prebačene vode iznosi više od 100 miliona kubnih metara godišnje, osim u slučaju prebacivanja pitke vode vodovodom</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21.</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U svim drugim slučajevima, radovi za prebacivanje vodnih resursa iz jednog u drugi riječni sliv, ako višegodišnji prosječni protok sliva iz kojeg se voda vadi iznosi više od 2.000 miliona kubnih metara godišnje, a količina prebačene vode čini više od 5 % tog protoka, osim u slučaju prebacivanja pitke vode vodovodom</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22.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Pročistači otpadnih voda kapaciteta preko 150.000 ekvivalent stanovnika</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rPr>
          <w:trHeight w:val="737"/>
        </w:trPr>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23.</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Vađenje nafte i prirodnog plina u komercijalne svrhe, pri čemu je količina izvađene nafte veća od 500 tona dnevno, a plina iznad 500.000 kubnih metara dnevno</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24.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Brane i ostala postrojenja za zadržavanje ili trajno skladištenje vode, pri čemu je nova ili dodatna količina zadržane ili uskladištene vode veća od 10 miliona kubnih metara</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25.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Cjevovodi promjera većeg od 800 milimetara i dužine iznad 40 kilometara: </w:t>
            </w:r>
          </w:p>
          <w:p w:rsidR="00DC51B5" w:rsidRPr="00DC51B5" w:rsidRDefault="00DC51B5" w:rsidP="00634878">
            <w:pPr>
              <w:jc w:val="both"/>
              <w:rPr>
                <w:rFonts w:ascii="Arial" w:hAnsi="Arial" w:cs="Arial"/>
                <w:noProof/>
                <w:color w:val="000000" w:themeColor="text1"/>
                <w:lang w:val="bs-Latn-BA"/>
              </w:rPr>
            </w:pP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(a) za prijenos plina, nafte, hemikalija; </w:t>
            </w: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(b) za prijenos tokova ugljen dioksida (CO2) radi geološkog skladištenja, uključujući povezane kompresorske stanice.</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 xml:space="preserve">26.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Postrojenja za intenzivni uzgoj peradi ili svinja sa više od: </w:t>
            </w:r>
          </w:p>
          <w:p w:rsidR="00DC51B5" w:rsidRPr="00DC51B5" w:rsidRDefault="00DC51B5" w:rsidP="00634878">
            <w:pPr>
              <w:jc w:val="both"/>
              <w:rPr>
                <w:rFonts w:ascii="Arial" w:hAnsi="Arial" w:cs="Arial"/>
                <w:noProof/>
                <w:color w:val="000000" w:themeColor="text1"/>
                <w:lang w:val="bs-Latn-BA"/>
              </w:rPr>
            </w:pP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(a) 85.000 mjesta za piliće i 60.000 mjesta za kokoši; </w:t>
            </w: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(b) 3.000 mjesta za svinje preko 30 kg; ili </w:t>
            </w: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(c) 900 mjesta za krmače. </w:t>
            </w:r>
          </w:p>
          <w:p w:rsidR="00DC51B5" w:rsidRPr="00DC51B5" w:rsidRDefault="00DC51B5" w:rsidP="00634878">
            <w:pPr>
              <w:jc w:val="both"/>
              <w:rPr>
                <w:rFonts w:ascii="Arial" w:hAnsi="Arial" w:cs="Arial"/>
                <w:noProof/>
                <w:color w:val="000000" w:themeColor="text1"/>
                <w:lang w:val="bs-Latn-BA"/>
              </w:rPr>
            </w:pP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27.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Industrijska postrojenja za: </w:t>
            </w:r>
          </w:p>
          <w:p w:rsidR="00DC51B5" w:rsidRPr="00DC51B5" w:rsidRDefault="00DC51B5" w:rsidP="00634878">
            <w:pPr>
              <w:jc w:val="both"/>
              <w:rPr>
                <w:rFonts w:ascii="Arial" w:hAnsi="Arial" w:cs="Arial"/>
                <w:noProof/>
                <w:color w:val="000000" w:themeColor="text1"/>
                <w:lang w:val="bs-Latn-BA"/>
              </w:rPr>
            </w:pP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(a) proizvodnju pulpe iz drveta ili sličnih vlaknastih materijala; </w:t>
            </w:r>
          </w:p>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(b) proizvodnju papira i kartona sa proizvodnim kapacitetom preko 200 tona dnevno. </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28.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Kamenolomi i površinski kopovi na lokaciji površine iznad 25 hektara, ili vađenje treseta na lokaciji površine iznad 150 hektara</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29.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Izgradnja nadzemnih električnih vodova napona 220 kV ili više i dužine veće od 15 kilometara</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30.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Postrojenja za skladištenje nafte, petrohemijskih ili hemijskih proizvoda kapaciteta 200.000 tona ili više</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31.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Lokacije za skladištenje ugljen dioksida</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32.</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Postrojenja za hvatanje tokova CO2 radi geološkog skladištenja ako je ukupna količina uhvaćenog CO2 1,5 megatona godišnje ili više</w:t>
            </w:r>
          </w:p>
          <w:p w:rsidR="00DC51B5" w:rsidRPr="00DC51B5" w:rsidRDefault="00DC51B5" w:rsidP="00634878">
            <w:pPr>
              <w:jc w:val="both"/>
              <w:rPr>
                <w:rFonts w:ascii="Arial" w:hAnsi="Arial" w:cs="Arial"/>
                <w:noProof/>
                <w:color w:val="000000" w:themeColor="text1"/>
                <w:lang w:val="bs-Latn-BA"/>
              </w:rPr>
            </w:pPr>
          </w:p>
        </w:tc>
      </w:tr>
      <w:tr w:rsidR="00DC51B5" w:rsidRPr="00DC51B5" w:rsidTr="00634878">
        <w:tc>
          <w:tcPr>
            <w:tcW w:w="62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33. </w:t>
            </w:r>
          </w:p>
        </w:tc>
        <w:tc>
          <w:tcPr>
            <w:tcW w:w="8725" w:type="dxa"/>
          </w:tcPr>
          <w:p w:rsidR="00DC51B5" w:rsidRPr="00DC51B5" w:rsidRDefault="00DC51B5" w:rsidP="00634878">
            <w:pPr>
              <w:jc w:val="both"/>
              <w:rPr>
                <w:rFonts w:ascii="Arial" w:hAnsi="Arial" w:cs="Arial"/>
                <w:noProof/>
                <w:color w:val="000000" w:themeColor="text1"/>
                <w:lang w:val="bs-Latn-BA"/>
              </w:rPr>
            </w:pPr>
            <w:r w:rsidRPr="00DC51B5">
              <w:rPr>
                <w:rFonts w:ascii="Arial" w:hAnsi="Arial" w:cs="Arial"/>
                <w:noProof/>
                <w:color w:val="000000" w:themeColor="text1"/>
                <w:lang w:val="bs-Latn-BA"/>
              </w:rPr>
              <w:t>Svaka izmjena ili proširenje projekata navedenih u ovom Prilogu ako ta izmjena ili proširenje prelazi neki od pragova navedenih u ovom Prilogu.</w:t>
            </w:r>
          </w:p>
          <w:p w:rsidR="00DC51B5" w:rsidRPr="00DC51B5" w:rsidRDefault="00DC51B5" w:rsidP="00634878">
            <w:pPr>
              <w:jc w:val="both"/>
              <w:rPr>
                <w:rFonts w:ascii="Arial" w:hAnsi="Arial" w:cs="Arial"/>
                <w:noProof/>
                <w:color w:val="000000" w:themeColor="text1"/>
                <w:lang w:val="bs-Latn-BA"/>
              </w:rPr>
            </w:pPr>
          </w:p>
        </w:tc>
      </w:tr>
    </w:tbl>
    <w:p w:rsidR="00DC51B5" w:rsidRPr="00DC51B5" w:rsidRDefault="00DC51B5" w:rsidP="00DC51B5">
      <w:pPr>
        <w:jc w:val="both"/>
        <w:rPr>
          <w:color w:val="000000" w:themeColor="text1"/>
          <w:sz w:val="18"/>
          <w:szCs w:val="18"/>
          <w:lang w:val="bs-Latn-BA"/>
        </w:rPr>
      </w:pP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PRILOG II.</w:t>
      </w: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PROJEKTI ZA KOJE FEDERALNO MINISTARSTVO ODLUČUJE O POTREBI PROVOĐENJA PROCJENE UTICAJA NA OKOLIŠ</w:t>
      </w:r>
    </w:p>
    <w:p w:rsidR="00DC51B5" w:rsidRPr="00DC51B5" w:rsidRDefault="00DC51B5" w:rsidP="00DC51B5">
      <w:pPr>
        <w:jc w:val="center"/>
        <w:rPr>
          <w:rFonts w:ascii="Arial" w:hAnsi="Arial" w:cs="Arial"/>
          <w:b/>
          <w:noProof/>
          <w:color w:val="000000" w:themeColor="text1"/>
          <w:lang w:val="bs-Latn-BA"/>
        </w:rPr>
      </w:pPr>
    </w:p>
    <w:tbl>
      <w:tblPr>
        <w:tblStyle w:val="TableGrid"/>
        <w:tblW w:w="0" w:type="auto"/>
        <w:tblLook w:val="04A0" w:firstRow="1" w:lastRow="0" w:firstColumn="1" w:lastColumn="0" w:noHBand="0" w:noVBand="1"/>
      </w:tblPr>
      <w:tblGrid>
        <w:gridCol w:w="4737"/>
        <w:gridCol w:w="4613"/>
      </w:tblGrid>
      <w:tr w:rsidR="00DC51B5" w:rsidRPr="00DC51B5" w:rsidTr="00634878">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Projekat</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Kriteriji za odlučivanje o potrebi izrade Studije o procjeni uticaja na okoliš</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 xml:space="preserve">1. POLJOPRIVREDA, ŠUMARSTVO I AKVAKULTURA </w:t>
            </w:r>
          </w:p>
          <w:p w:rsidR="00DC51B5" w:rsidRPr="00DC51B5" w:rsidRDefault="00DC51B5" w:rsidP="00634878">
            <w:pPr>
              <w:jc w:val="cente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(a) Projekti restrukturiranja poljoprivrednog zemljišta i farmi;</w:t>
            </w:r>
          </w:p>
          <w:p w:rsidR="00DC51B5" w:rsidRPr="00DC51B5" w:rsidRDefault="00DC51B5" w:rsidP="00634878">
            <w:pP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Projekti iskorištavanja neobrađene zemlje ili poluobrađenih područja u intenzivne poljoprivredne svrhe; </w:t>
            </w:r>
          </w:p>
          <w:p w:rsidR="00DC51B5" w:rsidRPr="00DC51B5" w:rsidRDefault="00DC51B5" w:rsidP="00634878">
            <w:pP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(c) Projekti upravljanja vodom za poljoprivredu, uključujući projekte navodnjavanja i odvodnje tla; </w:t>
            </w:r>
          </w:p>
          <w:p w:rsidR="00DC51B5" w:rsidRPr="00DC51B5" w:rsidRDefault="00DC51B5" w:rsidP="00634878">
            <w:pP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(d) Početno pošumljavanje i sječa/krčenje šuma radi prenamjene zemljišta; </w:t>
            </w:r>
          </w:p>
          <w:p w:rsidR="00DC51B5" w:rsidRPr="00DC51B5" w:rsidRDefault="00DC51B5" w:rsidP="00634878">
            <w:pP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 xml:space="preserve">(e) Projekti intenzivnog uzgoja životinja (projekti koji nisu uključeni u Prilog I) sa navedenim kapacitetom i više: </w:t>
            </w:r>
          </w:p>
          <w:p w:rsidR="00DC51B5" w:rsidRPr="00DC51B5" w:rsidRDefault="00DC51B5" w:rsidP="00634878">
            <w:pPr>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živina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20.000 mjesta za tov  pilića i 15.000 mjesta za kokoši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svinje</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1.000 mjesta za svinje preko 30 kg</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krmače</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500 mjesta</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krupna stoka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300 mjesta</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ostale vrste stoke (koze, ovce)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500 mjesta</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(f) Projekti intenzivnog uzgoja ribe;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Ribnjaci površine 1,5 hektar i više</w:t>
            </w:r>
          </w:p>
        </w:tc>
      </w:tr>
      <w:tr w:rsidR="00DC51B5" w:rsidRPr="00DC51B5" w:rsidTr="00634878">
        <w:tc>
          <w:tcPr>
            <w:tcW w:w="6475" w:type="dxa"/>
            <w:tcBorders>
              <w:bottom w:val="single" w:sz="12" w:space="0" w:color="auto"/>
            </w:tcBorders>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(g) Isušivanje tla za povrat zemlje od mora.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Borders>
              <w:bottom w:val="single" w:sz="12" w:space="0" w:color="auto"/>
            </w:tcBorders>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2. EKSTRAKTIVNA INDUSTRIJA</w:t>
            </w:r>
          </w:p>
          <w:p w:rsidR="00DC51B5" w:rsidRPr="00DC51B5" w:rsidRDefault="00DC51B5" w:rsidP="00634878">
            <w:pPr>
              <w:jc w:val="both"/>
              <w:rPr>
                <w:color w:val="000000" w:themeColor="text1"/>
                <w:sz w:val="18"/>
                <w:szCs w:val="18"/>
                <w:lang w:val="bs-Latn-BA"/>
              </w:rPr>
            </w:pPr>
          </w:p>
        </w:tc>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color w:val="000000" w:themeColor="text1"/>
                <w:sz w:val="18"/>
                <w:szCs w:val="18"/>
                <w:lang w:val="bs-Latn-BA"/>
              </w:rPr>
            </w:pPr>
            <w:r w:rsidRPr="00DC51B5">
              <w:rPr>
                <w:rFonts w:ascii="Arial" w:hAnsi="Arial" w:cs="Arial"/>
                <w:noProof/>
                <w:color w:val="000000" w:themeColor="text1"/>
                <w:sz w:val="18"/>
                <w:szCs w:val="18"/>
                <w:lang w:val="bs-Latn-BA"/>
              </w:rPr>
              <w:t>(a) Kamenolomi i površinski kopovi, te vađenje treseta (projekti koji nisu uključeni u Prilog I);</w:t>
            </w: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Kamenolomi i površinski kopovi čija je eksploataciona površina veća od 10 ha i manja od 25 hektara, te  vađenje treseta kad je površina terena za eksploataciju veća od 150 hektara</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Podzemno vađenje ruda;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(c) Dobijanje minerala jaruženjem rijeka ili mora;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(d) Dubinski kopovi, posebno: </w:t>
            </w:r>
          </w:p>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geotermalni iskopi;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ii. iskopi za skladištenje nuklearnog otpadnog materijala;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iii. iskopi za snadbijevanje  vodom, osim iskopa koji služe istraživanju stabilnosti tla;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bottom w:val="single" w:sz="12" w:space="0" w:color="auto"/>
            </w:tcBorders>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(e) Površinska industrijska postrojenja za vađenje uglja, nafte, prirodnog gasa i željezne rude, te bituminoznog škriljevca. </w:t>
            </w:r>
          </w:p>
          <w:p w:rsidR="00DC51B5" w:rsidRPr="00DC51B5" w:rsidRDefault="00DC51B5" w:rsidP="00634878">
            <w:pPr>
              <w:jc w:val="right"/>
              <w:rPr>
                <w:rFonts w:ascii="Arial" w:hAnsi="Arial" w:cs="Arial"/>
                <w:noProof/>
                <w:color w:val="000000" w:themeColor="text1"/>
                <w:sz w:val="18"/>
                <w:szCs w:val="18"/>
                <w:lang w:val="bs-Latn-BA"/>
              </w:rPr>
            </w:pPr>
          </w:p>
        </w:tc>
        <w:tc>
          <w:tcPr>
            <w:tcW w:w="6475" w:type="dxa"/>
            <w:tcBorders>
              <w:bottom w:val="single" w:sz="12" w:space="0" w:color="auto"/>
            </w:tcBorders>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3. ENERGETSKA INDUSTRIJA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(a) Industrijska postrojenja za proizvodnju struje, pare i tople vode (projekti koji nisu uključeni u Prilog I.);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toplotne snage od 20 MW do 300 MW ;</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Industrijska postrojenja za prijenos gasa, pare i tople vode;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rPr>
                <w:color w:val="000000" w:themeColor="text1"/>
                <w:sz w:val="18"/>
                <w:szCs w:val="18"/>
                <w:lang w:val="bs-Latn-BA"/>
              </w:rPr>
            </w:pPr>
            <w:r w:rsidRPr="00DC51B5">
              <w:rPr>
                <w:rFonts w:ascii="Arial" w:hAnsi="Arial" w:cs="Arial"/>
                <w:noProof/>
                <w:color w:val="000000" w:themeColor="text1"/>
                <w:sz w:val="18"/>
                <w:szCs w:val="18"/>
                <w:lang w:val="bs-Latn-BA"/>
              </w:rPr>
              <w:t>(b1) prijenos električne energije nadzemnim kablovima (projekti koji nisu uključeni u Prilog I);</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Kablovi cija voltaža iznosi 110 kV i više i čija dužina je 15 kilometara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Površinsko skladištenje prirodnog gasa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10.000 m</w:t>
            </w:r>
            <w:r w:rsidRPr="00B44FB2">
              <w:rPr>
                <w:rFonts w:ascii="Arial" w:hAnsi="Arial" w:cs="Arial"/>
                <w:noProof/>
                <w:color w:val="000000" w:themeColor="text1"/>
                <w:sz w:val="18"/>
                <w:szCs w:val="18"/>
                <w:vertAlign w:val="superscript"/>
                <w:lang w:val="bs-Latn-BA"/>
              </w:rPr>
              <w:t xml:space="preserve">3 </w:t>
            </w:r>
            <w:r w:rsidRPr="00DC51B5">
              <w:rPr>
                <w:rFonts w:ascii="Arial" w:hAnsi="Arial" w:cs="Arial"/>
                <w:noProof/>
                <w:color w:val="000000" w:themeColor="text1"/>
                <w:sz w:val="18"/>
                <w:szCs w:val="18"/>
                <w:lang w:val="bs-Latn-BA"/>
              </w:rPr>
              <w:t>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 Podzemno skladištenje zapaljivih gasova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10.000 m</w:t>
            </w:r>
            <w:r w:rsidRPr="00B44FB2">
              <w:rPr>
                <w:rFonts w:ascii="Arial" w:hAnsi="Arial" w:cs="Arial"/>
                <w:noProof/>
                <w:color w:val="000000" w:themeColor="text1"/>
                <w:sz w:val="18"/>
                <w:szCs w:val="18"/>
                <w:vertAlign w:val="superscript"/>
                <w:lang w:val="bs-Latn-BA"/>
              </w:rPr>
              <w:t>3</w:t>
            </w:r>
            <w:r w:rsidRPr="00DC51B5">
              <w:rPr>
                <w:rFonts w:ascii="Arial" w:hAnsi="Arial" w:cs="Arial"/>
                <w:noProof/>
                <w:color w:val="000000" w:themeColor="text1"/>
                <w:sz w:val="18"/>
                <w:szCs w:val="18"/>
                <w:lang w:val="bs-Latn-BA"/>
              </w:rPr>
              <w:t xml:space="preserve">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(e) Površinsko skladištenje fosilnih goriva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10.000 tona  i više</w:t>
            </w:r>
          </w:p>
        </w:tc>
      </w:tr>
      <w:tr w:rsidR="00DC51B5" w:rsidRPr="00DC51B5" w:rsidTr="00634878">
        <w:tc>
          <w:tcPr>
            <w:tcW w:w="6475" w:type="dxa"/>
          </w:tcPr>
          <w:p w:rsidR="00DC51B5" w:rsidRPr="00DC51B5" w:rsidRDefault="00DC51B5" w:rsidP="00634878">
            <w:pP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(f) Industrijsko briketiranje uglja i lignita;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(g) Postrojenja za preradu i skladištenje radioaktivnog otpada (osim onih uključenih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(h) </w:t>
            </w:r>
            <w:bookmarkStart w:id="0" w:name="_GoBack"/>
            <w:r w:rsidRPr="00DC51B5">
              <w:rPr>
                <w:rFonts w:ascii="Arial" w:hAnsi="Arial" w:cs="Arial"/>
                <w:noProof/>
                <w:color w:val="000000" w:themeColor="text1"/>
                <w:sz w:val="18"/>
                <w:szCs w:val="18"/>
                <w:lang w:val="bs-Latn-BA"/>
              </w:rPr>
              <w:t>Hidro</w:t>
            </w:r>
            <w:bookmarkEnd w:id="0"/>
            <w:r w:rsidRPr="00DC51B5">
              <w:rPr>
                <w:rFonts w:ascii="Arial" w:hAnsi="Arial" w:cs="Arial"/>
                <w:noProof/>
                <w:color w:val="000000" w:themeColor="text1"/>
                <w:sz w:val="18"/>
                <w:szCs w:val="18"/>
                <w:lang w:val="bs-Latn-BA"/>
              </w:rPr>
              <w:t>elektrane;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B44FB2" w:rsidP="00634878">
            <w:pPr>
              <w:jc w:val="center"/>
              <w:rPr>
                <w:rFonts w:ascii="Arial" w:hAnsi="Arial" w:cs="Arial"/>
                <w:noProof/>
                <w:color w:val="000000" w:themeColor="text1"/>
                <w:sz w:val="18"/>
                <w:szCs w:val="18"/>
                <w:lang w:val="bs-Latn-BA"/>
              </w:rPr>
            </w:pPr>
            <w:r>
              <w:rPr>
                <w:rFonts w:ascii="Arial" w:hAnsi="Arial" w:cs="Arial"/>
                <w:noProof/>
                <w:color w:val="000000" w:themeColor="text1"/>
                <w:sz w:val="18"/>
                <w:szCs w:val="18"/>
                <w:lang w:val="bs-Latn-BA"/>
              </w:rPr>
              <w:t>Svi projekti</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(i) Postrojenja koja koriste snagu vjetra za proizvodnju energije;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min. 4 vjetroturbine i vise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Borders>
              <w:bottom w:val="single" w:sz="12" w:space="0" w:color="auto"/>
            </w:tcBorders>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(j) Postrojenja za hvatanje tokova CO2 radi geološkog skladištenja.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Borders>
              <w:bottom w:val="single" w:sz="12" w:space="0" w:color="auto"/>
            </w:tcBorders>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 xml:space="preserve">4. PROIZVODNJA I PRERADA METALA </w:t>
            </w:r>
          </w:p>
          <w:p w:rsidR="00DC51B5" w:rsidRPr="00DC51B5" w:rsidRDefault="00DC51B5" w:rsidP="00634878">
            <w:pPr>
              <w:jc w:val="both"/>
              <w:rPr>
                <w:rFonts w:ascii="Arial" w:hAnsi="Arial" w:cs="Arial"/>
                <w:color w:val="000000" w:themeColor="text1"/>
                <w:sz w:val="24"/>
                <w:szCs w:val="24"/>
                <w:lang w:val="bs-Latn-BA"/>
              </w:rPr>
            </w:pPr>
          </w:p>
        </w:tc>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(a) Postrojenja za proizvodnju sirovog željeza ili čelika (primarna ili sekundarna fuzija) uključujući kontinuirano lijevanje;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Postrojenja za preradu neobojenih metala: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valjaonice;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ii. kovačnice sa čekićima;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iii. primjena zaštitnih navlaka od fuzioniranog metala;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(c) Ljevaonice neobojenih metala;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(d) Postrojenja za topljenje, uključujući i legiranje, obojenih metala, osim plemenitih metala, uključujući proizvode dobivene revitalizacijom (rafiniranje, lijevanje u ljevaonicama itd.);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(e) Postrojenja za površinsku obradu metala i plastičnih materijala elektrolitičkim ili hemijskim postupkom;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(f) Proizvodnja i sastavljanje cestovnih motornih vozila i proizvodnja motora za putna motorna vozila;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(g) Brodogradilišta;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(h) Postrojenja za izgradnju i popravak aviona;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Proizvodnja opreme za željeznicu;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(j)  Ljevaonice metala i postrojenja za oblikovanje metala eksplozivom;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bottom w:val="single" w:sz="12" w:space="0" w:color="auto"/>
            </w:tcBorders>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 (k) Postrojenja za pripremu, obogaćivanje, pečenje i  kalupljenje metalnih  ruda.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Borders>
              <w:bottom w:val="single" w:sz="12" w:space="0" w:color="auto"/>
            </w:tcBorders>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5. MINERALNA INDUSTRIJA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(a) Koksare (destiliranje suhog uglja);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Postrojenja za proizvodnju cementa;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Postrojenja za proizvodnju azbesta i azbestnih proizvoda (projekti koji nisu uključeni u Prilog I.);</w:t>
            </w: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(d) Postrojenja za proizvodnju stakla, uključujući i staklena vlakna;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(e) Postrojenja za topljenje mineralnih materija, uključujući i proizvodnju mineralnih vlakana;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(f) Proizvodnja keramičkih proizvoda pečenjem, posebno krovnih crijepova, cigle, vatrostalnih cigle, keramičkih pločica, kamenog ocakljenog posuđa i porculana.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lastRenderedPageBreak/>
              <w:t>Svi projekti</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lastRenderedPageBreak/>
              <w:t>6. HEMIJSKA INDUSTRIJA (PROJEKTI KOJI NISU UKLJUČENI U PRILOG I.)</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(a) Obrada prijelaznih proizvoda i proizvodnja hemikalija;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kapacitetom 10.000 t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(b) Proizvodnja pesticida i farmaceutskih proizvoda, boja i lakova, gume i peroksida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kapacitetom 10.000 tona i više ;</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Borders>
              <w:bottom w:val="single" w:sz="12" w:space="0" w:color="auto"/>
            </w:tcBorders>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Objekti za skladištenje nafte, petrohemijskih i hemijskih proizvoda</w:t>
            </w:r>
          </w:p>
        </w:tc>
        <w:tc>
          <w:tcPr>
            <w:tcW w:w="6475" w:type="dxa"/>
            <w:tcBorders>
              <w:bottom w:val="single" w:sz="12" w:space="0" w:color="auto"/>
            </w:tcBorders>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kapacitetom 10.000 tona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7. PREHRAMBENA INDUSTRIJA</w:t>
            </w:r>
          </w:p>
          <w:p w:rsidR="00DC51B5" w:rsidRPr="00DC51B5" w:rsidRDefault="00DC51B5" w:rsidP="00634878">
            <w:pPr>
              <w:jc w:val="both"/>
              <w:rPr>
                <w:rFonts w:ascii="Arial" w:hAnsi="Arial" w:cs="Arial"/>
                <w:color w:val="000000" w:themeColor="text1"/>
                <w:sz w:val="24"/>
                <w:szCs w:val="24"/>
                <w:lang w:val="bs-Latn-BA"/>
              </w:rPr>
            </w:pPr>
          </w:p>
        </w:tc>
        <w:tc>
          <w:tcPr>
            <w:tcW w:w="6475" w:type="dxa"/>
            <w:tcBorders>
              <w:top w:val="single" w:sz="12" w:space="0" w:color="auto"/>
            </w:tcBorders>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(a) Proizvodnja biljnih i životinjskih ulja i masti;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(b) Pakiranje i konzerviranje biljnih i životinjskih proizvoda;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Proizvodnja mliječnih proizvoda;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godišnjom količinom mlijeka koje se obrađuje ili prerađuje 10.000 tona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 Varenje piva vrenjem slada;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proizvodnim kapacitetom 250.000 hektolitara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(e) Priprema alkoholnih pića, bezalkoholnih pića i sirćeta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10.000 litara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(f) Proizvodnja slatkiša i sirupa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proizvodnim kapacitetom 5.000 tona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(g) Klaonice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kapacitetom 10.000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(h) Postrojenja za proizvodnju industrijskog škroba;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kapacitetom 10.000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Tvornice ribljeg brašna i ribljeg ulja;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(j) Postrojenje za preradu ribe;</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dnevnim kapacitetom prerade od 1 tonu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 Šećerane</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sa proizvodnim godišnjim kapacitetom 10.000 tona i više.</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8. TEKSTILNA, KOŽNA, DRVNA I PAPIRNA INDUSTRIJA</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(a) Industrijska postrojenja za proizvodnju papira i kartona (projekti koji nisu uključeni u Prilog I.); </w:t>
            </w:r>
          </w:p>
          <w:p w:rsidR="00DC51B5" w:rsidRPr="00DC51B5" w:rsidRDefault="00DC51B5" w:rsidP="00634878">
            <w:pPr>
              <w:jc w:val="both"/>
              <w:rPr>
                <w:rFonts w:ascii="Arial" w:hAnsi="Arial" w:cs="Arial"/>
                <w:noProof/>
                <w:color w:val="000000" w:themeColor="text1"/>
                <w:sz w:val="18"/>
                <w:szCs w:val="18"/>
                <w:lang w:val="bs-Latn-BA"/>
              </w:rPr>
            </w:pP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Postrojenja za predobradu (npr. pranje, izbjeljivanje ili merceriziranje) ili bojenje vlakana ili tkanina;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(c) Postrojenja za štavljenje krzna i kože;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(d) Postrojenja za preradu i proizvodnju celuloze. </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(e) Industrija tekstila i kože </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dnevnog kapaciteta 10 tona i više</w:t>
            </w:r>
          </w:p>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b/>
                <w:noProof/>
                <w:color w:val="000000" w:themeColor="text1"/>
                <w:sz w:val="18"/>
                <w:szCs w:val="18"/>
                <w:lang w:val="bs-Latn-BA"/>
              </w:rPr>
              <w:t>9. INDUSTRIJA GUME</w:t>
            </w:r>
          </w:p>
        </w:tc>
        <w:tc>
          <w:tcPr>
            <w:tcW w:w="647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Proizvodnja i obrada proizvoda na bazi gume.</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10. INFRASTRUKTURNI PROJEKTI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(a) Izgradnja industrijskih kompleksa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površini 5 hektara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(b) Projekti urbanističkog razvoja, uključujući izgradnju trgovačkih centara;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ukupne korisne površine 60.000 m2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Nadzemna ili podzemna parkirališta za automobile</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1.000 mjesta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stadioni sa pratećim objektima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25.000 posjetilaca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Izgradnja željeznica i intermodalnih objekata za prekrcaj kao i intermodalnih terminala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 Izgradnja aerodroma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(e) Izgradnja magistralnih i regionalnih cesta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dužine 10 kilometara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Izgradnja luka i lučkih postrojenja, uključujući i ribarske luke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color w:val="000000" w:themeColor="text1"/>
                <w:sz w:val="18"/>
                <w:szCs w:val="18"/>
                <w:shd w:val="clear" w:color="auto" w:fill="FFFFFF"/>
                <w:lang w:val="bs-Latn-BA"/>
              </w:rPr>
              <w:t>koja mogu da prime plovila od 1350 t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(f) Izgradnja unutrašnjih plovnih puteva koji nisu uključeni u Prilog I., gradnja kanala i objekata za obranu od poplava;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 </w:t>
            </w:r>
            <w:r w:rsidRPr="00DC51B5">
              <w:rPr>
                <w:rFonts w:ascii="Arial" w:hAnsi="Arial" w:cs="Arial"/>
                <w:color w:val="000000" w:themeColor="text1"/>
                <w:sz w:val="18"/>
                <w:szCs w:val="18"/>
                <w:shd w:val="clear" w:color="auto" w:fill="FFFFFF"/>
                <w:lang w:val="bs-Latn-BA"/>
              </w:rPr>
              <w:t>kojima se omogućuje prolaz plovilima od 1350 t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(g) Brane i ostala postrojenja za zadržavanje ili dugoročno skladištenje vode (projekti koji nisu uključeni u Prilog I.);</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(h) Tramvaji, nadzemne i podzemne željeznice, viseće ili slične linije posebne vrste koje se isključivo ili uglavnom koriste za prijevoz putnika;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Naftovodi, gasovodi i cjevovodi za prijenos tokova CO2 radi geološkog skladištenja (projekti koji nisu uključeni u Prilog I.);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cjevovodi za prenos gasa, nafte ili hemikalija</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prečnikom 200 milimetara i dužine 20 kilometara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(j)  Gradnja dugih vodovoda (akvadukta); </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(k) Radovi u obalnom području za suzbijanje erozije i pomorski objekti koji mogu izmijeniti izgled obale, na primjer gatovi, molovi, lukobrani i ostali slični objekti za obranu od mora, osim održavanja i rekonstrukcije takvih objekata;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(l) Vađenje podzemne vode ili sistem vještačkog ubrizgavanja  podzemne vode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(m) Objekti za prebacivanje vodnih resursa iz jednog u drugi riječni sliv koji nisu uključeni u Prilog I.</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11. OSTALI PROJEKTI</w:t>
            </w:r>
          </w:p>
          <w:p w:rsidR="00DC51B5" w:rsidRPr="00DC51B5" w:rsidRDefault="00DC51B5" w:rsidP="00634878">
            <w:pPr>
              <w:jc w:val="both"/>
              <w:rPr>
                <w:rFonts w:ascii="Arial" w:hAnsi="Arial" w:cs="Arial"/>
                <w:color w:val="000000" w:themeColor="text1"/>
                <w:sz w:val="24"/>
                <w:szCs w:val="24"/>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(a) Trajne trkačke staze i testne trke za motorna vozila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području 10 hektara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(b) Postrojenja za odlaganje otpada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skladištenje opasnog otpada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kapaciteta 10 tona dnevno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lastRenderedPageBreak/>
              <w:t xml:space="preserve">- skladištenje neopasnog otpada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50 tona dnevno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tretman opasnog otpada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 tona dnevno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postrojenja za spaljivanje neopasnog otpada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dnevnim kapacitetom 10 tona i više</w:t>
            </w:r>
          </w:p>
        </w:tc>
      </w:tr>
      <w:tr w:rsidR="00DC51B5" w:rsidRPr="00DC51B5" w:rsidTr="00634878">
        <w:tc>
          <w:tcPr>
            <w:tcW w:w="6475" w:type="dxa"/>
          </w:tcPr>
          <w:p w:rsidR="00DC51B5" w:rsidRPr="00DC51B5" w:rsidRDefault="00DC51B5" w:rsidP="00634878">
            <w:pPr>
              <w:jc w:val="both"/>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 postrojenja u kojima se vrši biološki, fizički i/ili hemijski tretman neopasnog otpada</w:t>
            </w:r>
          </w:p>
        </w:tc>
        <w:tc>
          <w:tcPr>
            <w:tcW w:w="6475" w:type="dxa"/>
          </w:tcPr>
          <w:p w:rsidR="00DC51B5" w:rsidRPr="00DC51B5" w:rsidRDefault="00DC51B5" w:rsidP="00634878">
            <w:pPr>
              <w:pStyle w:val="ListParagraph"/>
              <w:ind w:left="426"/>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dnevnim kapacitetom 10 tona i više</w:t>
            </w:r>
          </w:p>
          <w:p w:rsidR="00DC51B5" w:rsidRPr="00DC51B5" w:rsidRDefault="00DC51B5" w:rsidP="00634878">
            <w:pP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deponije neopasnog otpada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dnevnim kapacitetom 10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postrojenja za odlaganje, preradu ili uništavanje životinjskih leševa ili otpadaka životinjskog porijekla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(c) Pročistači otpadnih voda (projekti koji nisu uključeni u Prilog 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 Odlagališta mulja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kapaciteta 10.000 tona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(e) Skladištenje željeznog otpada uključujući stara vozila</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godišnjim kapacitetom 10.000 tona i više</w:t>
            </w:r>
          </w:p>
          <w:p w:rsidR="00DC51B5" w:rsidRPr="00DC51B5" w:rsidRDefault="00DC51B5" w:rsidP="00634878">
            <w:pPr>
              <w:jc w:val="center"/>
              <w:rPr>
                <w:rFonts w:ascii="Arial" w:hAnsi="Arial" w:cs="Arial"/>
                <w:noProof/>
                <w:color w:val="000000" w:themeColor="text1"/>
                <w:sz w:val="18"/>
                <w:szCs w:val="18"/>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(f) Postrojenja za testiranje mašina, turbina ili reaktora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sa 20 testnih mjesta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(g) Postrojenja za proizvodnju vještačkih mineralnih vlakana;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(h) Postrojenja za revitalizaciju i  uništavanje eksplozivnih supstanci;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(i) Stovarišta/skladišta otpadnog materijala.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center"/>
              <w:rPr>
                <w:rFonts w:ascii="Arial" w:hAnsi="Arial" w:cs="Arial"/>
                <w:b/>
                <w:noProof/>
                <w:color w:val="000000" w:themeColor="text1"/>
                <w:sz w:val="18"/>
                <w:szCs w:val="18"/>
                <w:lang w:val="bs-Latn-BA"/>
              </w:rPr>
            </w:pPr>
            <w:r w:rsidRPr="00DC51B5">
              <w:rPr>
                <w:rFonts w:ascii="Arial" w:hAnsi="Arial" w:cs="Arial"/>
                <w:b/>
                <w:noProof/>
                <w:color w:val="000000" w:themeColor="text1"/>
                <w:sz w:val="18"/>
                <w:szCs w:val="18"/>
                <w:lang w:val="bs-Latn-BA"/>
              </w:rPr>
              <w:t>12. TURIZAM I RAZONODA</w:t>
            </w:r>
          </w:p>
          <w:p w:rsidR="00DC51B5" w:rsidRPr="00DC51B5" w:rsidRDefault="00DC51B5" w:rsidP="00634878">
            <w:pPr>
              <w:jc w:val="both"/>
              <w:rPr>
                <w:rFonts w:ascii="Arial" w:hAnsi="Arial" w:cs="Arial"/>
                <w:color w:val="000000" w:themeColor="text1"/>
                <w:spacing w:val="-5"/>
                <w:sz w:val="24"/>
                <w:szCs w:val="24"/>
                <w:lang w:val="bs-Latn-BA"/>
              </w:rPr>
            </w:pPr>
          </w:p>
        </w:tc>
        <w:tc>
          <w:tcPr>
            <w:tcW w:w="6475" w:type="dxa"/>
          </w:tcPr>
          <w:p w:rsidR="00DC51B5" w:rsidRPr="00DC51B5" w:rsidRDefault="00DC51B5" w:rsidP="00634878">
            <w:pPr>
              <w:jc w:val="center"/>
              <w:rPr>
                <w:rFonts w:ascii="Arial" w:hAnsi="Arial" w:cs="Arial"/>
                <w:color w:val="000000" w:themeColor="text1"/>
                <w:sz w:val="24"/>
                <w:szCs w:val="24"/>
                <w:lang w:val="bs-Latn-BA"/>
              </w:rPr>
            </w:pP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(a) Skijaški spustovi, skijaški liftovi, žičare i srodni razvojni projekti;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površini 5 hektara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(b) Marine; </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Svi projekti</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 xml:space="preserve">(c) Turistička naselja i hotelski kompleksi izvan urbanih sredina i srodni razvojni projekti; </w:t>
            </w: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površini 5 hektara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(d) Stalni kampovi i tereni za smještaj kamp-kućica;</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površini 5 hektara i više</w:t>
            </w:r>
          </w:p>
        </w:tc>
      </w:tr>
      <w:tr w:rsidR="00DC51B5" w:rsidRPr="00DC51B5" w:rsidTr="00634878">
        <w:tc>
          <w:tcPr>
            <w:tcW w:w="6475" w:type="dxa"/>
          </w:tcPr>
          <w:p w:rsidR="00DC51B5" w:rsidRPr="00DC51B5" w:rsidRDefault="00DC51B5" w:rsidP="00634878">
            <w:pPr>
              <w:jc w:val="both"/>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(e) Tematski parkovi.</w:t>
            </w:r>
          </w:p>
          <w:p w:rsidR="00DC51B5" w:rsidRPr="00DC51B5" w:rsidRDefault="00DC51B5" w:rsidP="00634878">
            <w:pPr>
              <w:jc w:val="both"/>
              <w:rPr>
                <w:rFonts w:ascii="Arial" w:hAnsi="Arial" w:cs="Arial"/>
                <w:noProof/>
                <w:color w:val="000000" w:themeColor="text1"/>
                <w:sz w:val="18"/>
                <w:szCs w:val="18"/>
                <w:lang w:val="bs-Latn-BA"/>
              </w:rPr>
            </w:pPr>
          </w:p>
        </w:tc>
        <w:tc>
          <w:tcPr>
            <w:tcW w:w="6475" w:type="dxa"/>
          </w:tcPr>
          <w:p w:rsidR="00DC51B5" w:rsidRPr="00DC51B5" w:rsidRDefault="00DC51B5" w:rsidP="00634878">
            <w:pPr>
              <w:jc w:val="center"/>
              <w:rPr>
                <w:rFonts w:ascii="Arial" w:hAnsi="Arial" w:cs="Arial"/>
                <w:noProof/>
                <w:color w:val="000000" w:themeColor="text1"/>
                <w:sz w:val="18"/>
                <w:szCs w:val="18"/>
                <w:lang w:val="bs-Latn-BA"/>
              </w:rPr>
            </w:pPr>
            <w:r w:rsidRPr="00DC51B5">
              <w:rPr>
                <w:rFonts w:ascii="Arial" w:hAnsi="Arial" w:cs="Arial"/>
                <w:noProof/>
                <w:color w:val="000000" w:themeColor="text1"/>
                <w:sz w:val="18"/>
                <w:szCs w:val="18"/>
                <w:lang w:val="bs-Latn-BA"/>
              </w:rPr>
              <w:t>na površini 5 hektara i više</w:t>
            </w:r>
          </w:p>
        </w:tc>
      </w:tr>
    </w:tbl>
    <w:p w:rsidR="00DC51B5" w:rsidRPr="00DC51B5" w:rsidRDefault="00DC51B5" w:rsidP="00DC51B5">
      <w:pPr>
        <w:jc w:val="both"/>
        <w:rPr>
          <w:color w:val="000000" w:themeColor="text1"/>
          <w:sz w:val="18"/>
          <w:szCs w:val="18"/>
          <w:lang w:val="bs-Latn-BA"/>
        </w:rPr>
      </w:pPr>
      <w:r w:rsidRPr="00DC51B5">
        <w:rPr>
          <w:color w:val="000000" w:themeColor="text1"/>
          <w:sz w:val="18"/>
          <w:szCs w:val="18"/>
          <w:lang w:val="bs-Latn-BA"/>
        </w:rPr>
        <w:t xml:space="preserve"> </w:t>
      </w:r>
    </w:p>
    <w:p w:rsidR="00DC51B5" w:rsidRPr="00DC51B5" w:rsidRDefault="00DC51B5" w:rsidP="00DC51B5">
      <w:pPr>
        <w:jc w:val="both"/>
        <w:rPr>
          <w:color w:val="000000" w:themeColor="text1"/>
          <w:sz w:val="18"/>
          <w:szCs w:val="18"/>
          <w:lang w:val="bs-Latn-BA"/>
        </w:rPr>
      </w:pPr>
    </w:p>
    <w:p w:rsidR="00DC51B5" w:rsidRPr="00DC51B5" w:rsidRDefault="00DC51B5" w:rsidP="00DC51B5">
      <w:pPr>
        <w:jc w:val="both"/>
        <w:rPr>
          <w:color w:val="000000" w:themeColor="text1"/>
          <w:sz w:val="18"/>
          <w:szCs w:val="18"/>
          <w:lang w:val="bs-Latn-BA"/>
        </w:rPr>
      </w:pPr>
      <w:r w:rsidRPr="00DC51B5">
        <w:rPr>
          <w:color w:val="000000" w:themeColor="text1"/>
          <w:sz w:val="18"/>
          <w:szCs w:val="18"/>
          <w:lang w:val="bs-Latn-BA"/>
        </w:rPr>
        <w:t xml:space="preserve">13. (a) Svaka izmjena ili proširenje projekata iz Priloga I. ili ovog Priloga, već odobrena, izvršena ili u postupku izvršenja, koja bi mogla imati značajne štetne učinke na okoliš (izmjene ili proširenja koja nisu uključena u Prilog I.); </w:t>
      </w:r>
    </w:p>
    <w:p w:rsidR="00DC51B5" w:rsidRPr="00DC51B5" w:rsidRDefault="00DC51B5" w:rsidP="00DC51B5">
      <w:pPr>
        <w:jc w:val="both"/>
        <w:rPr>
          <w:color w:val="000000" w:themeColor="text1"/>
          <w:sz w:val="18"/>
          <w:szCs w:val="18"/>
          <w:lang w:val="bs-Latn-BA"/>
        </w:rPr>
      </w:pPr>
      <w:r w:rsidRPr="00DC51B5">
        <w:rPr>
          <w:color w:val="000000" w:themeColor="text1"/>
          <w:sz w:val="18"/>
          <w:szCs w:val="18"/>
          <w:lang w:val="bs-Latn-BA"/>
        </w:rPr>
        <w:t>(b) Projekti iz Priloga I., namijenjeni isključivo ili uglavnom razvoju ili ispitivanju novih metoda ili proizvoda, koji se ne koriste duže od dvije godine.</w:t>
      </w:r>
    </w:p>
    <w:p w:rsidR="00DC51B5" w:rsidRPr="00DC51B5" w:rsidRDefault="00DC51B5" w:rsidP="00DC51B5">
      <w:pPr>
        <w:jc w:val="both"/>
        <w:rPr>
          <w:color w:val="000000" w:themeColor="text1"/>
          <w:sz w:val="18"/>
          <w:szCs w:val="18"/>
          <w:lang w:val="bs-Latn-BA"/>
        </w:rPr>
      </w:pPr>
    </w:p>
    <w:p w:rsidR="00DC51B5" w:rsidRPr="00DC51B5" w:rsidRDefault="00DC51B5" w:rsidP="00DC51B5">
      <w:pPr>
        <w:jc w:val="both"/>
        <w:rPr>
          <w:color w:val="000000" w:themeColor="text1"/>
          <w:sz w:val="18"/>
          <w:szCs w:val="18"/>
          <w:lang w:val="bs-Latn-BA"/>
        </w:rPr>
      </w:pPr>
    </w:p>
    <w:p w:rsidR="00DC51B5" w:rsidRPr="00DC51B5" w:rsidRDefault="00DC51B5" w:rsidP="00DC51B5">
      <w:pPr>
        <w:jc w:val="both"/>
        <w:rPr>
          <w:color w:val="000000" w:themeColor="text1"/>
          <w:sz w:val="18"/>
          <w:szCs w:val="18"/>
          <w:lang w:val="bs-Latn-BA"/>
        </w:rPr>
      </w:pPr>
    </w:p>
    <w:p w:rsidR="00DC51B5" w:rsidRPr="00DC51B5" w:rsidRDefault="00DC51B5" w:rsidP="00DC51B5">
      <w:pPr>
        <w:jc w:val="both"/>
        <w:rPr>
          <w:color w:val="000000" w:themeColor="text1"/>
          <w:sz w:val="18"/>
          <w:szCs w:val="18"/>
          <w:lang w:val="bs-Latn-BA"/>
        </w:rPr>
        <w:sectPr w:rsidR="00DC51B5" w:rsidRPr="00DC51B5" w:rsidSect="00634878">
          <w:type w:val="continuous"/>
          <w:pgSz w:w="12240" w:h="15840"/>
          <w:pgMar w:top="1440" w:right="1440" w:bottom="1440" w:left="1440" w:header="720" w:footer="720" w:gutter="0"/>
          <w:cols w:space="720"/>
          <w:docGrid w:linePitch="360"/>
        </w:sectPr>
      </w:pP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lastRenderedPageBreak/>
        <w:t>PRILOG III</w:t>
      </w: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ZAHTJEV ZA PRETHODNU PROCJENU UTICAJA NA OKOLIŠ</w:t>
      </w: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A. Karakteristike projekta</w:t>
      </w: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A1. Osnovne informacije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993"/>
        <w:gridCol w:w="3750"/>
      </w:tblGrid>
      <w:tr w:rsidR="00DC51B5" w:rsidRPr="00DC51B5" w:rsidTr="00634878">
        <w:trPr>
          <w:trHeight w:val="596"/>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A1.1. Naziv projekta</w:t>
            </w:r>
          </w:p>
        </w:tc>
        <w:tc>
          <w:tcPr>
            <w:tcW w:w="3472" w:type="pct"/>
            <w:gridSpan w:val="2"/>
          </w:tcPr>
          <w:p w:rsidR="00DC51B5" w:rsidRPr="00DC51B5" w:rsidRDefault="00DC51B5" w:rsidP="00634878">
            <w:pPr>
              <w:rPr>
                <w:rFonts w:ascii="Arial" w:hAnsi="Arial" w:cs="Arial"/>
                <w:noProof/>
                <w:color w:val="000000" w:themeColor="text1"/>
                <w:lang w:val="bs-Latn-BA"/>
              </w:rPr>
            </w:pP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A1.2. Opis projekta uključujući podatke o njegovoj namjeni i veličini </w:t>
            </w:r>
          </w:p>
        </w:tc>
        <w:tc>
          <w:tcPr>
            <w:tcW w:w="3472" w:type="pct"/>
            <w:gridSpan w:val="2"/>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p>
        </w:tc>
      </w:tr>
      <w:tr w:rsidR="00DC51B5" w:rsidRPr="00DC51B5" w:rsidTr="00634878">
        <w:trPr>
          <w:trHeight w:val="1808"/>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A1.3. Broj izvoda iz prostorno-planskog akta te nadležni organ izdavanja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(Izvod iz prostorno-planskog akta priložiti uz zahtjev)</w:t>
            </w:r>
          </w:p>
        </w:tc>
        <w:tc>
          <w:tcPr>
            <w:tcW w:w="3472" w:type="pct"/>
            <w:gridSpan w:val="2"/>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42"/>
        </w:trPr>
        <w:tc>
          <w:tcPr>
            <w:tcW w:w="1528" w:type="pct"/>
            <w:vMerge w:val="restar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A1.4. Vrsta zahtjeva </w:t>
            </w:r>
          </w:p>
        </w:tc>
        <w:tc>
          <w:tcPr>
            <w:tcW w:w="1541" w:type="pct"/>
            <w:tcBorders>
              <w:bottom w:val="single" w:sz="4" w:space="0" w:color="auto"/>
            </w:tcBorders>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Novi projekat</w:t>
            </w:r>
          </w:p>
        </w:tc>
        <w:tc>
          <w:tcPr>
            <w:tcW w:w="1931" w:type="pct"/>
            <w:tcBorders>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542"/>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1541" w:type="pct"/>
            <w:tcBorders>
              <w:bottom w:val="nil"/>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r w:rsidRPr="00DC51B5">
              <w:rPr>
                <w:rFonts w:ascii="Arial" w:hAnsi="Arial" w:cs="Arial"/>
                <w:noProof/>
                <w:color w:val="000000" w:themeColor="text1"/>
                <w:lang w:val="bs-Latn-BA"/>
              </w:rPr>
              <w:t>Značajna izmjena postojećeg i/ili odobrenog projekta</w:t>
            </w:r>
          </w:p>
        </w:tc>
        <w:tc>
          <w:tcPr>
            <w:tcW w:w="1931" w:type="pct"/>
            <w:tcBorders>
              <w:bottom w:val="nil"/>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542"/>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1541" w:type="pct"/>
            <w:tcBorders>
              <w:bottom w:val="nil"/>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r w:rsidRPr="00DC51B5">
              <w:rPr>
                <w:rFonts w:ascii="Arial" w:hAnsi="Arial" w:cs="Arial"/>
                <w:noProof/>
                <w:color w:val="000000" w:themeColor="text1"/>
                <w:lang w:val="bs-Latn-BA"/>
              </w:rPr>
              <w:t>Prestanak aktivnosti</w:t>
            </w:r>
          </w:p>
        </w:tc>
        <w:tc>
          <w:tcPr>
            <w:tcW w:w="1931" w:type="pct"/>
            <w:tcBorders>
              <w:bottom w:val="nil"/>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542"/>
        </w:trPr>
        <w:tc>
          <w:tcPr>
            <w:tcW w:w="1528" w:type="pct"/>
            <w:vMerge w:val="restar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A1.5. Ukoliko se radi o značajnoj izmjeni postojećeg i/ili odobrenog projekta, opisati planirane izmjene </w:t>
            </w:r>
          </w:p>
        </w:tc>
        <w:tc>
          <w:tcPr>
            <w:tcW w:w="3472" w:type="pct"/>
            <w:gridSpan w:val="2"/>
            <w:tcBorders>
              <w:bottom w:val="nil"/>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A1.6. Da li projekat ima kumulativni uticaj sa već postojećim i/ili odobrenim projektima?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Ukoliko DA, opisati na koji način.</w:t>
            </w: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A1.7. Vlasništvo nad zemljištem i/ili objektom na kojem se nalazi postojeći i/ili planirani projekat</w:t>
            </w: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A1.8. Da li je zemljište i/ili objekat na kojem se nalazi </w:t>
            </w:r>
            <w:r w:rsidRPr="00DC51B5">
              <w:rPr>
                <w:rFonts w:ascii="Arial" w:hAnsi="Arial" w:cs="Arial"/>
                <w:noProof/>
                <w:color w:val="000000" w:themeColor="text1"/>
                <w:lang w:val="bs-Latn-BA"/>
              </w:rPr>
              <w:lastRenderedPageBreak/>
              <w:t xml:space="preserve">postojeći i/ili planirani projekat predmet ugovora o zakupu?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Ukoliko jeste, molimo navedite broj ugovora, te podatke o ugovornim stranama.</w:t>
            </w: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A1.9. Ime i prezime odgovorne osobe</w:t>
            </w: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r w:rsidR="00DC51B5" w:rsidRPr="00DC51B5" w:rsidTr="00634878">
        <w:trPr>
          <w:trHeight w:val="7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A1.10. Kontakt podaci odgovorne osobe (adresa, broj telefona, e-mail)</w:t>
            </w:r>
          </w:p>
        </w:tc>
        <w:tc>
          <w:tcPr>
            <w:tcW w:w="3472" w:type="pct"/>
            <w:gridSpan w:val="2"/>
            <w:tcBorders>
              <w:top w:val="nil"/>
              <w:bottom w:val="single" w:sz="4" w:space="0" w:color="auto"/>
            </w:tcBorders>
          </w:tcPr>
          <w:p w:rsidR="00DC51B5" w:rsidRPr="00DC51B5" w:rsidRDefault="00DC51B5" w:rsidP="00634878">
            <w:pPr>
              <w:pStyle w:val="ListParagraph"/>
              <w:tabs>
                <w:tab w:val="left" w:pos="720"/>
              </w:tabs>
              <w:spacing w:after="0" w:line="276" w:lineRule="auto"/>
              <w:ind w:left="0"/>
              <w:jc w:val="both"/>
              <w:rPr>
                <w:rFonts w:ascii="Arial" w:hAnsi="Arial" w:cs="Arial"/>
                <w:noProof/>
                <w:color w:val="000000" w:themeColor="text1"/>
                <w:lang w:val="bs-Latn-BA"/>
              </w:rPr>
            </w:pPr>
          </w:p>
        </w:tc>
      </w:tr>
    </w:tbl>
    <w:p w:rsidR="00DC51B5" w:rsidRPr="00DC51B5" w:rsidRDefault="00DC51B5" w:rsidP="00DC51B5">
      <w:pPr>
        <w:rPr>
          <w:rFonts w:ascii="Arial" w:hAnsi="Arial" w:cs="Arial"/>
          <w:b/>
          <w:noProof/>
          <w:color w:val="000000" w:themeColor="text1"/>
          <w:lang w:val="bs-Latn-BA"/>
        </w:rPr>
      </w:pP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A2. Uticaj projekta na okoliš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515"/>
        <w:gridCol w:w="2009"/>
        <w:gridCol w:w="2434"/>
      </w:tblGrid>
      <w:tr w:rsidR="00DC51B5" w:rsidRPr="00DC51B5" w:rsidTr="00DC51B5">
        <w:trPr>
          <w:trHeight w:val="980"/>
        </w:trPr>
        <w:tc>
          <w:tcPr>
            <w:tcW w:w="1527"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A2.1. Detaljno opišite okoliš na području pod uticajem projekta</w:t>
            </w:r>
          </w:p>
        </w:tc>
        <w:tc>
          <w:tcPr>
            <w:tcW w:w="3473" w:type="pct"/>
            <w:gridSpan w:val="3"/>
          </w:tcPr>
          <w:p w:rsidR="00DC51B5" w:rsidRPr="00DC51B5" w:rsidRDefault="00DC51B5" w:rsidP="00634878">
            <w:pPr>
              <w:jc w:val="center"/>
              <w:rPr>
                <w:rFonts w:ascii="Arial" w:hAnsi="Arial" w:cs="Arial"/>
                <w:noProof/>
                <w:color w:val="000000" w:themeColor="text1"/>
                <w:lang w:val="bs-Latn-BA"/>
              </w:rPr>
            </w:pPr>
          </w:p>
          <w:p w:rsidR="00DC51B5" w:rsidRPr="00DC51B5" w:rsidRDefault="00DC51B5" w:rsidP="00DC51B5">
            <w:pPr>
              <w:rPr>
                <w:rFonts w:ascii="Arial" w:hAnsi="Arial" w:cs="Arial"/>
                <w:noProof/>
                <w:color w:val="000000" w:themeColor="text1"/>
                <w:lang w:val="bs-Latn-BA"/>
              </w:rPr>
            </w:pPr>
          </w:p>
        </w:tc>
      </w:tr>
      <w:tr w:rsidR="00DC51B5" w:rsidRPr="00DC51B5" w:rsidTr="00634878">
        <w:trPr>
          <w:trHeight w:val="620"/>
        </w:trPr>
        <w:tc>
          <w:tcPr>
            <w:tcW w:w="1527" w:type="pct"/>
            <w:vMerge w:val="restar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A2.2. Vrsta i količina osnovnih i pomoćnih sirovina, dodatnih materijala i ostalih supstanci koji će biti korišteni u svakoj od faza projekta </w:t>
            </w:r>
          </w:p>
        </w:tc>
        <w:tc>
          <w:tcPr>
            <w:tcW w:w="966" w:type="pct"/>
          </w:tcPr>
          <w:p w:rsidR="00DC51B5" w:rsidRPr="00DC51B5" w:rsidRDefault="00DC51B5" w:rsidP="00634878">
            <w:pPr>
              <w:spacing w:after="0" w:line="276" w:lineRule="auto"/>
              <w:jc w:val="both"/>
              <w:rPr>
                <w:rFonts w:ascii="Arial" w:hAnsi="Arial" w:cs="Arial"/>
                <w:noProof/>
                <w:color w:val="000000" w:themeColor="text1"/>
                <w:lang w:val="bs-Latn-BA"/>
              </w:rPr>
            </w:pP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1144"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Vrsta</w:t>
            </w:r>
          </w:p>
        </w:tc>
        <w:tc>
          <w:tcPr>
            <w:tcW w:w="1363"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Količina</w:t>
            </w:r>
          </w:p>
        </w:tc>
      </w:tr>
      <w:tr w:rsidR="00DC51B5" w:rsidRPr="00DC51B5" w:rsidTr="00634878">
        <w:trPr>
          <w:trHeight w:val="1146"/>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spacing w:after="0" w:line="276" w:lineRule="auto"/>
              <w:ind w:left="12" w:hanging="12"/>
              <w:jc w:val="both"/>
              <w:rPr>
                <w:rFonts w:ascii="Arial" w:hAnsi="Arial" w:cs="Arial"/>
                <w:noProof/>
                <w:color w:val="000000" w:themeColor="text1"/>
                <w:lang w:val="bs-Latn-BA"/>
              </w:rPr>
            </w:pPr>
            <w:r w:rsidRPr="00DC51B5">
              <w:rPr>
                <w:rFonts w:ascii="Arial" w:hAnsi="Arial" w:cs="Arial"/>
                <w:noProof/>
                <w:color w:val="000000" w:themeColor="text1"/>
                <w:lang w:val="bs-Latn-BA"/>
              </w:rPr>
              <w:t>Pripremna faza projekta</w:t>
            </w: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05"/>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12"/>
              </w:tabs>
              <w:spacing w:after="0" w:line="276" w:lineRule="auto"/>
              <w:ind w:left="0" w:firstLine="12"/>
              <w:jc w:val="both"/>
              <w:rPr>
                <w:rFonts w:ascii="Arial" w:hAnsi="Arial" w:cs="Arial"/>
                <w:noProof/>
                <w:color w:val="000000" w:themeColor="text1"/>
                <w:lang w:val="bs-Latn-BA"/>
              </w:rPr>
            </w:pPr>
            <w:r w:rsidRPr="00DC51B5">
              <w:rPr>
                <w:rFonts w:ascii="Arial" w:hAnsi="Arial" w:cs="Arial"/>
                <w:noProof/>
                <w:color w:val="000000" w:themeColor="text1"/>
                <w:lang w:val="bs-Latn-BA"/>
              </w:rPr>
              <w:t>Faza izgradnje projekta</w:t>
            </w: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144" w:type="pct"/>
            <w:tcBorders>
              <w:bottom w:val="single" w:sz="4" w:space="0" w:color="auto"/>
            </w:tcBorders>
          </w:tcPr>
          <w:p w:rsidR="00DC51B5" w:rsidRPr="00DC51B5" w:rsidRDefault="00DC51B5" w:rsidP="00634878">
            <w:pPr>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81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Faza rada ili eksploatacije projekta</w:t>
            </w: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144" w:type="pct"/>
            <w:tcBorders>
              <w:bottom w:val="single" w:sz="4" w:space="0" w:color="auto"/>
            </w:tcBorders>
          </w:tcPr>
          <w:p w:rsidR="00DC51B5" w:rsidRPr="00DC51B5" w:rsidRDefault="00DC51B5" w:rsidP="00634878">
            <w:pPr>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Faza prestanka rada</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A2.3. Korištenje prirodnih resursa (posebno tla, zemljišta, vode i biološke raznolikosti) prilikom pripreme, izgradnje, rada ili prestanka rada projekta</w:t>
            </w: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Navesti o kojem prirodnom resurse se radi i količini i načinu njegovog korištenja </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val="restar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A2.4. Vrsta i količina emisija nastalih zbog </w:t>
            </w:r>
            <w:r w:rsidRPr="00DC51B5">
              <w:rPr>
                <w:rFonts w:ascii="Arial" w:hAnsi="Arial" w:cs="Arial"/>
                <w:noProof/>
                <w:color w:val="000000" w:themeColor="text1"/>
                <w:lang w:val="bs-Latn-BA"/>
              </w:rPr>
              <w:lastRenderedPageBreak/>
              <w:t>pripreme, izgradnje, rada ili prestanka rada projekta</w:t>
            </w: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lastRenderedPageBreak/>
              <w:t>Proizvodnja otpada (opasni/neopasni)</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Emisije u zrak (sve emisije)</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Emisije u vode (podzemne/površinske)</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Emisije u kanalizaciju</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Emisije u tlo</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Buka</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Borders>
              <w:bottom w:val="single" w:sz="4" w:space="0" w:color="auto"/>
            </w:tcBorders>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Vibracije</w:t>
            </w:r>
          </w:p>
        </w:tc>
        <w:tc>
          <w:tcPr>
            <w:tcW w:w="1144"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966" w:type="pct"/>
          </w:tcPr>
          <w:p w:rsidR="00DC51B5" w:rsidRPr="00DC51B5" w:rsidRDefault="00DC51B5" w:rsidP="00634878">
            <w:pPr>
              <w:pStyle w:val="ListParagraph"/>
              <w:tabs>
                <w:tab w:val="left" w:pos="720"/>
              </w:tabs>
              <w:spacing w:after="0" w:line="276" w:lineRule="auto"/>
              <w:ind w:left="12"/>
              <w:jc w:val="both"/>
              <w:rPr>
                <w:rFonts w:ascii="Arial" w:hAnsi="Arial" w:cs="Arial"/>
                <w:noProof/>
                <w:color w:val="000000" w:themeColor="text1"/>
                <w:lang w:val="bs-Latn-BA"/>
              </w:rPr>
            </w:pPr>
            <w:r w:rsidRPr="00DC51B5">
              <w:rPr>
                <w:rFonts w:ascii="Arial" w:hAnsi="Arial" w:cs="Arial"/>
                <w:noProof/>
                <w:color w:val="000000" w:themeColor="text1"/>
                <w:lang w:val="bs-Latn-BA"/>
              </w:rPr>
              <w:t>Nejonizirajuće zračenje</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56"/>
        </w:trPr>
        <w:tc>
          <w:tcPr>
            <w:tcW w:w="1527" w:type="pct"/>
            <w:vMerge w:val="restart"/>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A2.5. Opisati i dati kratak pregled alternativnih rješenja sa obzirom na uticaje na okoliš</w:t>
            </w:r>
          </w:p>
          <w:p w:rsidR="00DC51B5" w:rsidRPr="00DC51B5" w:rsidRDefault="00DC51B5" w:rsidP="00634878">
            <w:pPr>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Proizvodnja otpada (opasni/neopasni)</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Emisije u zrak (sve emisije)</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Emisije u vode (podzemne/površinske)</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Emisije u kanalizaciju</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Emisije u tlo</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Buka</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Vibracije</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35"/>
        </w:trPr>
        <w:tc>
          <w:tcPr>
            <w:tcW w:w="1527" w:type="pct"/>
            <w:vMerge/>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966"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Nejonizirajuće zračenje</w:t>
            </w:r>
          </w:p>
        </w:tc>
        <w:tc>
          <w:tcPr>
            <w:tcW w:w="1144"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c>
          <w:tcPr>
            <w:tcW w:w="1363" w:type="pct"/>
          </w:tcPr>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A2.6. Da li projekat nosi rizik od velikih nesreća i/ili katastrofa koje su relevantne za projekat, uključujući one koje su uzrokovane promjenom </w:t>
            </w:r>
            <w:r w:rsidRPr="00DC51B5">
              <w:rPr>
                <w:rFonts w:ascii="Arial" w:hAnsi="Arial" w:cs="Arial"/>
                <w:noProof/>
                <w:color w:val="000000" w:themeColor="text1"/>
                <w:lang w:val="bs-Latn-BA"/>
              </w:rPr>
              <w:lastRenderedPageBreak/>
              <w:t>klime, u skladu sa naučnim saznanjima?</w:t>
            </w: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Ukoliko da, navesti rizike.</w:t>
            </w: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tc>
        <w:tc>
          <w:tcPr>
            <w:tcW w:w="3473"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720"/>
        </w:trPr>
        <w:tc>
          <w:tcPr>
            <w:tcW w:w="1527" w:type="pct"/>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lastRenderedPageBreak/>
              <w:t>A2.7. Da li projekat nosi rizike za ljudsko zdravlje (na primjer zbog zagađenja vode ili zraka)?</w:t>
            </w: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Ukoliko da, navesti rizike.</w:t>
            </w:r>
          </w:p>
        </w:tc>
        <w:tc>
          <w:tcPr>
            <w:tcW w:w="3473" w:type="pct"/>
            <w:gridSpan w:val="3"/>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bl>
    <w:p w:rsidR="00DC51B5" w:rsidRPr="00DC51B5" w:rsidRDefault="00DC51B5" w:rsidP="00DC51B5">
      <w:pPr>
        <w:rPr>
          <w:rFonts w:ascii="Arial" w:hAnsi="Arial" w:cs="Arial"/>
          <w:b/>
          <w:noProof/>
          <w:color w:val="000000" w:themeColor="text1"/>
          <w:lang w:val="bs-Latn-BA"/>
        </w:rPr>
      </w:pP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B. Lokacija projekta i osjetljivost okoliša geografskih područja za koja je vjerovatno da bi projekti mogli na njih značajno uticati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743"/>
      </w:tblGrid>
      <w:tr w:rsidR="00DC51B5" w:rsidRPr="00DC51B5" w:rsidTr="00634878">
        <w:trPr>
          <w:trHeight w:val="596"/>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B1.1. Navesti postojeću i odobrenu upotrebu zemljišta</w:t>
            </w:r>
          </w:p>
        </w:tc>
        <w:tc>
          <w:tcPr>
            <w:tcW w:w="3472" w:type="pct"/>
          </w:tcPr>
          <w:p w:rsidR="00DC51B5" w:rsidRPr="00DC51B5" w:rsidRDefault="00DC51B5" w:rsidP="00634878">
            <w:pPr>
              <w:rPr>
                <w:rFonts w:ascii="Arial" w:hAnsi="Arial" w:cs="Arial"/>
                <w:noProof/>
                <w:color w:val="000000" w:themeColor="text1"/>
                <w:lang w:val="bs-Latn-BA"/>
              </w:rPr>
            </w:pP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B1.2. Opisati relativnu raspoloživost, kvalitet i regenerativni kapacitet prirodnih resursa (uključujući tlo, zemljište, vodu i biološku raznolikost) tog područja i njegovog podzemnog dijela</w:t>
            </w:r>
            <w:r w:rsidRPr="00DC51B5">
              <w:rPr>
                <w:rFonts w:ascii="Arial" w:hAnsi="Arial" w:cs="Arial"/>
                <w:noProof/>
                <w:color w:val="000000" w:themeColor="text1"/>
                <w:lang w:val="bs-Latn-BA"/>
              </w:rPr>
              <w:tab/>
            </w:r>
          </w:p>
        </w:tc>
        <w:tc>
          <w:tcPr>
            <w:tcW w:w="3472"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p>
        </w:tc>
      </w:tr>
      <w:tr w:rsidR="00DC51B5" w:rsidRPr="00DC51B5" w:rsidTr="00634878">
        <w:trPr>
          <w:trHeight w:val="1087"/>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B1.3. Opisati apsorpcioni kapacitet prirodne sredine, obraćajući posebnu pažnju na slijedeća područja:</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70"/>
        </w:trPr>
        <w:tc>
          <w:tcPr>
            <w:tcW w:w="1528" w:type="pct"/>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a) močvarna područja, obalna područja rijeka i ušća rijeka</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65"/>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 obalna područja i morski okoliš</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2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 planinska, šumska i kraška područja</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1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 zaštićena prirodna područja i nacionalne parkove</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color w:val="000000" w:themeColor="text1"/>
                <w:lang w:val="bs-Latn-BA"/>
              </w:rPr>
            </w:pPr>
            <w:r w:rsidRPr="00DC51B5">
              <w:rPr>
                <w:rFonts w:ascii="Arial" w:hAnsi="Arial" w:cs="Arial"/>
                <w:noProof/>
                <w:color w:val="000000" w:themeColor="text1"/>
                <w:lang w:val="bs-Latn-BA"/>
              </w:rPr>
              <w:lastRenderedPageBreak/>
              <w:t>e) spomenike prirode i zaštićene pejzaže</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f) područja rijetkih i ugroženih biljnih i životinjskih vrsta</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g) područja na kojima još od ranije nisu bili zadovoljeni standardi kvaliteta okoliša koji su relevantni za projekat ili u odnosu na koja se smatra da isti nisu zadovoljeni</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h) gusto naseljena područja</w:t>
            </w:r>
          </w:p>
        </w:tc>
        <w:tc>
          <w:tcPr>
            <w:tcW w:w="3472" w:type="pct"/>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 pejzaži i područja od historijskog, kulturnog ili arheološkog značaja.</w:t>
            </w:r>
          </w:p>
        </w:tc>
        <w:tc>
          <w:tcPr>
            <w:tcW w:w="3472" w:type="pct"/>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bl>
    <w:p w:rsidR="00DC51B5" w:rsidRPr="00DC51B5" w:rsidRDefault="00DC51B5" w:rsidP="00DC51B5">
      <w:pPr>
        <w:rPr>
          <w:rFonts w:ascii="Arial" w:hAnsi="Arial" w:cs="Arial"/>
          <w:b/>
          <w:noProof/>
          <w:color w:val="000000" w:themeColor="text1"/>
          <w:lang w:val="bs-Latn-BA"/>
        </w:rPr>
      </w:pP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 xml:space="preserve">C. Karakteristike potencijalnog uticaja na okoliš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3338"/>
        <w:gridCol w:w="1629"/>
        <w:gridCol w:w="1775"/>
      </w:tblGrid>
      <w:tr w:rsidR="00DC51B5" w:rsidRPr="00DC51B5" w:rsidTr="00634878">
        <w:trPr>
          <w:trHeight w:val="596"/>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C1.1. Navesti veličinu i prostorni obuhvat geografskog područja na koje bi projekat mogao uticati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(unijeti tačne koordinate navedenog geografskog područja)</w:t>
            </w:r>
          </w:p>
        </w:tc>
        <w:tc>
          <w:tcPr>
            <w:tcW w:w="3472" w:type="pct"/>
            <w:gridSpan w:val="3"/>
          </w:tcPr>
          <w:p w:rsidR="00DC51B5" w:rsidRPr="00DC51B5" w:rsidRDefault="00DC51B5" w:rsidP="00634878">
            <w:pPr>
              <w:rPr>
                <w:rFonts w:ascii="Arial" w:hAnsi="Arial" w:cs="Arial"/>
                <w:noProof/>
                <w:color w:val="000000" w:themeColor="text1"/>
                <w:lang w:val="bs-Latn-BA"/>
              </w:rPr>
            </w:pP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C1.2. Navesti broj stanovnika na koje bi projekat mogao uticati </w:t>
            </w:r>
          </w:p>
        </w:tc>
        <w:tc>
          <w:tcPr>
            <w:tcW w:w="3472" w:type="pct"/>
            <w:gridSpan w:val="3"/>
            <w:tcBorders>
              <w:bottom w:val="single" w:sz="4" w:space="0" w:color="auto"/>
            </w:tcBorders>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p>
        </w:tc>
      </w:tr>
      <w:tr w:rsidR="00DC51B5" w:rsidRPr="00DC51B5" w:rsidTr="00DC51B5">
        <w:trPr>
          <w:trHeight w:val="69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C1.3. Opisati način uticaja projekta na okoliš </w:t>
            </w:r>
          </w:p>
        </w:tc>
        <w:tc>
          <w:tcPr>
            <w:tcW w:w="3472" w:type="pct"/>
            <w:gridSpan w:val="3"/>
          </w:tcPr>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tc>
      </w:tr>
      <w:tr w:rsidR="00DC51B5" w:rsidRPr="00DC51B5" w:rsidTr="00DC51B5">
        <w:trPr>
          <w:trHeight w:val="69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C1.4. Da li projekat direktno ili indirektno utiče na okoliš?</w:t>
            </w:r>
          </w:p>
        </w:tc>
        <w:tc>
          <w:tcPr>
            <w:tcW w:w="3472" w:type="pct"/>
            <w:gridSpan w:val="3"/>
          </w:tcPr>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48"/>
        </w:trPr>
        <w:tc>
          <w:tcPr>
            <w:tcW w:w="1528" w:type="pct"/>
            <w:vMerge w:val="restar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C1.5. Obilježiti na koje faktore projekat ima uticaj:</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p>
        </w:tc>
        <w:tc>
          <w:tcPr>
            <w:tcW w:w="1719"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a) ljude, biljni i životinjski svijet i svijet gljiva</w:t>
            </w:r>
          </w:p>
        </w:tc>
        <w:tc>
          <w:tcPr>
            <w:tcW w:w="839"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914"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480"/>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1719"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b) tlo, vodu, zrak, klimu i pejzaž</w:t>
            </w:r>
          </w:p>
        </w:tc>
        <w:tc>
          <w:tcPr>
            <w:tcW w:w="839"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914"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10"/>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1719"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c) materijalna dobra i kulturno naslijeđe</w:t>
            </w:r>
          </w:p>
        </w:tc>
        <w:tc>
          <w:tcPr>
            <w:tcW w:w="839"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914"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440"/>
        </w:trPr>
        <w:tc>
          <w:tcPr>
            <w:tcW w:w="1528" w:type="pct"/>
            <w:vMerge/>
            <w:shd w:val="clear" w:color="auto" w:fill="D9E2F3" w:themeFill="accent5" w:themeFillTint="33"/>
          </w:tcPr>
          <w:p w:rsidR="00DC51B5" w:rsidRPr="00DC51B5" w:rsidRDefault="00DC51B5" w:rsidP="00634878">
            <w:pPr>
              <w:rPr>
                <w:rFonts w:ascii="Arial" w:hAnsi="Arial" w:cs="Arial"/>
                <w:noProof/>
                <w:color w:val="000000" w:themeColor="text1"/>
                <w:lang w:val="bs-Latn-BA"/>
              </w:rPr>
            </w:pPr>
          </w:p>
        </w:tc>
        <w:tc>
          <w:tcPr>
            <w:tcW w:w="1719" w:type="pct"/>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d) međudjelovanje faktora od a) do c)</w:t>
            </w:r>
          </w:p>
        </w:tc>
        <w:tc>
          <w:tcPr>
            <w:tcW w:w="839"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914" w:type="pct"/>
          </w:tcPr>
          <w:p w:rsidR="00DC51B5" w:rsidRPr="00DC51B5" w:rsidRDefault="00DC51B5" w:rsidP="00634878">
            <w:pPr>
              <w:tabs>
                <w:tab w:val="left" w:pos="720"/>
              </w:tabs>
              <w:spacing w:after="0" w:line="276" w:lineRule="auto"/>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70"/>
        </w:trPr>
        <w:tc>
          <w:tcPr>
            <w:tcW w:w="1528" w:type="pct"/>
            <w:shd w:val="clear" w:color="auto" w:fill="D9E2F3" w:themeFill="accent5" w:themeFillTint="33"/>
          </w:tcPr>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C1.6. Da li projekat ima prekograničnu i/ili preko entitetsku vrstu uticaja?</w:t>
            </w: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tabs>
                <w:tab w:val="left" w:pos="720"/>
              </w:tabs>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Ukoliko da, navesti na koje države/entitet/BDBiH.</w:t>
            </w:r>
          </w:p>
        </w:tc>
        <w:tc>
          <w:tcPr>
            <w:tcW w:w="3472"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65"/>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C1.5. Opisati intenzitet i složenost uticaja  projekta na okoliš</w:t>
            </w:r>
          </w:p>
        </w:tc>
        <w:tc>
          <w:tcPr>
            <w:tcW w:w="3472"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2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C1.6. Opisati koja je vjerovatnoća uticaja na okoliš </w:t>
            </w:r>
          </w:p>
        </w:tc>
        <w:tc>
          <w:tcPr>
            <w:tcW w:w="3472"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51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C1.7. Opisati očekivani nastanak, trajanje, učestalost i reverzibilnost uticaja (u vremenskim intervalima)</w:t>
            </w:r>
          </w:p>
        </w:tc>
        <w:tc>
          <w:tcPr>
            <w:tcW w:w="3472"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r w:rsidR="00DC51B5" w:rsidRPr="00DC51B5" w:rsidTr="00634878">
        <w:trPr>
          <w:trHeight w:val="450"/>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C1.8. Da li postoji mogućnost djelotvornog smanjivanja uticaja?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Ukoliko da, navesti planirane aktivnosti djelotvornog smanjivanja uticaja.</w:t>
            </w:r>
          </w:p>
        </w:tc>
        <w:tc>
          <w:tcPr>
            <w:tcW w:w="3472" w:type="pct"/>
            <w:gridSpan w:val="3"/>
          </w:tcPr>
          <w:p w:rsidR="00DC51B5" w:rsidRPr="00DC51B5" w:rsidRDefault="00DC51B5" w:rsidP="00634878">
            <w:pPr>
              <w:pStyle w:val="ListParagraph"/>
              <w:tabs>
                <w:tab w:val="left" w:pos="720"/>
              </w:tabs>
              <w:spacing w:after="0" w:line="276" w:lineRule="auto"/>
              <w:jc w:val="both"/>
              <w:rPr>
                <w:rFonts w:ascii="Arial" w:hAnsi="Arial" w:cs="Arial"/>
                <w:noProof/>
                <w:color w:val="000000" w:themeColor="text1"/>
                <w:lang w:val="bs-Latn-BA"/>
              </w:rPr>
            </w:pPr>
          </w:p>
        </w:tc>
      </w:tr>
    </w:tbl>
    <w:p w:rsidR="00DC51B5" w:rsidRPr="00DC51B5" w:rsidRDefault="00DC51B5" w:rsidP="00DC51B5">
      <w:pPr>
        <w:pStyle w:val="ListParagraph"/>
        <w:spacing w:after="0" w:line="276" w:lineRule="auto"/>
        <w:jc w:val="both"/>
        <w:rPr>
          <w:rFonts w:ascii="Arial" w:hAnsi="Arial" w:cs="Arial"/>
          <w:noProof/>
          <w:color w:val="000000" w:themeColor="text1"/>
          <w:lang w:val="bs-Latn-BA"/>
        </w:rPr>
      </w:pPr>
    </w:p>
    <w:p w:rsidR="00DC51B5" w:rsidRPr="00DC51B5" w:rsidRDefault="00DC51B5" w:rsidP="00DC51B5">
      <w:pPr>
        <w:rPr>
          <w:rFonts w:ascii="Arial" w:hAnsi="Arial" w:cs="Arial"/>
          <w:b/>
          <w:noProof/>
          <w:color w:val="000000" w:themeColor="text1"/>
          <w:lang w:val="bs-Latn-BA"/>
        </w:rPr>
      </w:pPr>
      <w:r w:rsidRPr="00DC51B5">
        <w:rPr>
          <w:rFonts w:ascii="Arial" w:hAnsi="Arial" w:cs="Arial"/>
          <w:b/>
          <w:noProof/>
          <w:color w:val="000000" w:themeColor="text1"/>
          <w:lang w:val="bs-Latn-BA"/>
        </w:rPr>
        <w:t xml:space="preserve">D. Dodatne informacije  </w:t>
      </w:r>
    </w:p>
    <w:p w:rsidR="00DC51B5" w:rsidRPr="00DC51B5" w:rsidRDefault="00DC51B5" w:rsidP="00DC51B5">
      <w:pPr>
        <w:spacing w:after="0"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Obilježite odgovore na slijedeća pitanja: </w:t>
      </w:r>
    </w:p>
    <w:p w:rsidR="00DC51B5" w:rsidRPr="00DC51B5" w:rsidRDefault="00DC51B5" w:rsidP="00DC51B5">
      <w:pPr>
        <w:spacing w:after="0" w:line="276" w:lineRule="auto"/>
        <w:jc w:val="both"/>
        <w:rPr>
          <w:rFonts w:ascii="Arial" w:hAnsi="Arial" w:cs="Arial"/>
          <w:noProof/>
          <w:color w:val="000000" w:themeColor="text1"/>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3395"/>
        <w:gridCol w:w="3348"/>
      </w:tblGrid>
      <w:tr w:rsidR="00DC51B5" w:rsidRPr="00DC51B5" w:rsidTr="00634878">
        <w:trPr>
          <w:trHeight w:val="596"/>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D1.1. Projekat će značajno koristiti prirodni resurs ili će koristiti prirodni resurs na način da spriječi upotrebu ili potencijalnu upotrebu tog resursa u druge svrhe</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D1.2. Potencijalni trajni uticaji na okoliš će najvjerovatnije biti minorni, od manje važnosti i jednostavno ublaženi</w:t>
            </w:r>
          </w:p>
        </w:tc>
        <w:tc>
          <w:tcPr>
            <w:tcW w:w="1748"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 xml:space="preserve">D1.3. Tip projekta, njegov uticaj na okoliš i mjere upravljanja tim uticajima su dobro poznati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D1.4. Postoji pouzdan način kojim se može osigurati da mjere za upravljanje uticajima mogu biti, i biti će, adekvatno planirane i implementrane</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D1.5. Projekat će izmjestiti značajan broj ljudi, porodica i životnih zajednica</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D1.6. Projekat je lociran i utjecati će na ekološki osjetljiva područja navedena u članu 7., stav 1., tačka 2., alineja 3. ove Uredbe</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D1.7. Projekat će dovesti do izmjena:</w:t>
            </w:r>
          </w:p>
        </w:tc>
        <w:tc>
          <w:tcPr>
            <w:tcW w:w="1748" w:type="pct"/>
          </w:tcPr>
          <w:p w:rsidR="00DC51B5" w:rsidRPr="00DC51B5" w:rsidRDefault="00DC51B5" w:rsidP="00634878">
            <w:pPr>
              <w:jc w:val="center"/>
              <w:rPr>
                <w:rFonts w:ascii="Arial" w:hAnsi="Arial" w:cs="Arial"/>
                <w:noProof/>
                <w:color w:val="000000" w:themeColor="text1"/>
                <w:lang w:val="bs-Latn-BA"/>
              </w:rPr>
            </w:pPr>
          </w:p>
        </w:tc>
        <w:tc>
          <w:tcPr>
            <w:tcW w:w="1724" w:type="pct"/>
          </w:tcPr>
          <w:p w:rsidR="00DC51B5" w:rsidRPr="00DC51B5" w:rsidRDefault="00DC51B5" w:rsidP="00634878">
            <w:pPr>
              <w:jc w:val="center"/>
              <w:rPr>
                <w:rFonts w:ascii="Arial" w:hAnsi="Arial" w:cs="Arial"/>
                <w:noProof/>
                <w:color w:val="000000" w:themeColor="text1"/>
                <w:lang w:val="bs-Latn-BA"/>
              </w:rPr>
            </w:pP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 vlasništu i namjeni zemljišta, i/ili</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upotrebi vode kroz irigaciju, unapređenje isušivanja ili izmjeni toka vode izgradnjom brana, i do izmjena u ribarskim praksama</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D1.8. Projekat će dovesti do:</w:t>
            </w:r>
          </w:p>
        </w:tc>
        <w:tc>
          <w:tcPr>
            <w:tcW w:w="1748" w:type="pct"/>
          </w:tcPr>
          <w:p w:rsidR="00DC51B5" w:rsidRPr="00DC51B5" w:rsidRDefault="00DC51B5" w:rsidP="00634878">
            <w:pPr>
              <w:jc w:val="center"/>
              <w:rPr>
                <w:rFonts w:ascii="Arial" w:hAnsi="Arial" w:cs="Arial"/>
                <w:noProof/>
                <w:color w:val="000000" w:themeColor="text1"/>
                <w:lang w:val="bs-Latn-BA"/>
              </w:rPr>
            </w:pPr>
          </w:p>
        </w:tc>
        <w:tc>
          <w:tcPr>
            <w:tcW w:w="1724" w:type="pct"/>
          </w:tcPr>
          <w:p w:rsidR="00DC51B5" w:rsidRPr="00DC51B5" w:rsidRDefault="00DC51B5" w:rsidP="00634878">
            <w:pPr>
              <w:jc w:val="center"/>
              <w:rPr>
                <w:rFonts w:ascii="Arial" w:hAnsi="Arial" w:cs="Arial"/>
                <w:noProof/>
                <w:color w:val="000000" w:themeColor="text1"/>
                <w:lang w:val="bs-Latn-BA"/>
              </w:rPr>
            </w:pP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nepovoljnih socio-ekonomskih uticaja;</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uništenja zemljišta;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zagađenja vode;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zagađenja zraka;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 xml:space="preserve">- ugrožavanje biljnog i životinjskog svijeta i njihovih staništa;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nastanka nusprodukata, ostataka materijala i otpada koji zahtijevaju rukovanje i odlaganje na način koji nije regulisan zakonom.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D1.9. Projekat će imati uticaj na javnost zbog potencijalnih negativnih uticaja na okoliš </w:t>
            </w:r>
          </w:p>
        </w:tc>
        <w:tc>
          <w:tcPr>
            <w:tcW w:w="1748"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r w:rsidR="00DC51B5" w:rsidRPr="00DC51B5" w:rsidTr="00634878">
        <w:trPr>
          <w:trHeight w:val="542"/>
        </w:trPr>
        <w:tc>
          <w:tcPr>
            <w:tcW w:w="1528" w:type="pct"/>
            <w:shd w:val="clear" w:color="auto" w:fill="D9E2F3" w:themeFill="accent5"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D1.10. Nakon izgradnje, projekat će zahtijevati dodatne razvojne aktivnosti koje mogu imati negativan uticaj na okoliš </w:t>
            </w:r>
          </w:p>
        </w:tc>
        <w:tc>
          <w:tcPr>
            <w:tcW w:w="1748"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DA</w:t>
            </w:r>
          </w:p>
        </w:tc>
        <w:tc>
          <w:tcPr>
            <w:tcW w:w="1724" w:type="pct"/>
            <w:tcBorders>
              <w:bottom w:val="single" w:sz="4" w:space="0" w:color="auto"/>
            </w:tcBorders>
          </w:tcPr>
          <w:p w:rsidR="00DC51B5" w:rsidRPr="00DC51B5" w:rsidRDefault="00DC51B5" w:rsidP="00634878">
            <w:pPr>
              <w:jc w:val="center"/>
              <w:rPr>
                <w:rFonts w:ascii="Arial" w:hAnsi="Arial" w:cs="Arial"/>
                <w:noProof/>
                <w:color w:val="000000" w:themeColor="text1"/>
                <w:lang w:val="bs-Latn-BA"/>
              </w:rPr>
            </w:pPr>
            <w:r w:rsidRPr="00DC51B5">
              <w:rPr>
                <w:rFonts w:ascii="Arial" w:hAnsi="Arial" w:cs="Arial"/>
                <w:noProof/>
                <w:color w:val="000000" w:themeColor="text1"/>
                <w:lang w:val="bs-Latn-BA"/>
              </w:rPr>
              <w:t>NE</w:t>
            </w:r>
          </w:p>
        </w:tc>
      </w:tr>
    </w:tbl>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 xml:space="preserve"> Prilozi:</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 xml:space="preserve">1. Prethodna procjena uticaja na okoliš izrađena od strane ovlaštenog pravnog lica </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2. Nacrt projekta (idejni projekat)</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3. Izvod iz prostorno-planskog akta</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 xml:space="preserve">4. Dokaz o vlasništvu nad zemljištem i/ili objektom </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5. Ugovor o zakupu nad vlasništvo i/ili objektom, ukoliko postoji</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 xml:space="preserve">6. Ukoliko se radi o kumulaciji sa već postojećim i/ili odobrenim projektom, priložiti dozvole za iste </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7. Netehnički rezime</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 xml:space="preserve">8. </w:t>
      </w:r>
      <w:proofErr w:type="spellStart"/>
      <w:r w:rsidRPr="00DC51B5">
        <w:rPr>
          <w:rFonts w:ascii="Arial" w:hAnsi="Arial" w:cs="Arial"/>
          <w:color w:val="000000" w:themeColor="text1"/>
          <w:sz w:val="21"/>
          <w:szCs w:val="21"/>
          <w:shd w:val="clear" w:color="auto" w:fill="FFFFFF"/>
        </w:rPr>
        <w:t>Informacije</w:t>
      </w:r>
      <w:proofErr w:type="spellEnd"/>
      <w:r w:rsidRPr="00DC51B5">
        <w:rPr>
          <w:rFonts w:ascii="Arial" w:hAnsi="Arial" w:cs="Arial"/>
          <w:color w:val="000000" w:themeColor="text1"/>
          <w:sz w:val="21"/>
          <w:szCs w:val="21"/>
          <w:shd w:val="clear" w:color="auto" w:fill="FFFFFF"/>
        </w:rPr>
        <w:t xml:space="preserve"> o </w:t>
      </w:r>
      <w:proofErr w:type="spellStart"/>
      <w:r w:rsidRPr="00DC51B5">
        <w:rPr>
          <w:rFonts w:ascii="Arial" w:hAnsi="Arial" w:cs="Arial"/>
          <w:color w:val="000000" w:themeColor="text1"/>
          <w:sz w:val="21"/>
          <w:szCs w:val="21"/>
          <w:shd w:val="clear" w:color="auto" w:fill="FFFFFF"/>
        </w:rPr>
        <w:t>mogućim</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teškoćama</w:t>
      </w:r>
      <w:proofErr w:type="spellEnd"/>
      <w:r w:rsidRPr="00DC51B5">
        <w:rPr>
          <w:rFonts w:ascii="Arial" w:hAnsi="Arial" w:cs="Arial"/>
          <w:color w:val="000000" w:themeColor="text1"/>
          <w:sz w:val="21"/>
          <w:szCs w:val="21"/>
          <w:shd w:val="clear" w:color="auto" w:fill="FFFFFF"/>
        </w:rPr>
        <w:t xml:space="preserve"> </w:t>
      </w:r>
      <w:proofErr w:type="spellStart"/>
      <w:proofErr w:type="gramStart"/>
      <w:r w:rsidRPr="00DC51B5">
        <w:rPr>
          <w:rFonts w:ascii="Arial" w:hAnsi="Arial" w:cs="Arial"/>
          <w:color w:val="000000" w:themeColor="text1"/>
          <w:sz w:val="21"/>
          <w:szCs w:val="21"/>
          <w:shd w:val="clear" w:color="auto" w:fill="FFFFFF"/>
        </w:rPr>
        <w:t>na</w:t>
      </w:r>
      <w:proofErr w:type="spellEnd"/>
      <w:proofErr w:type="gram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koje</w:t>
      </w:r>
      <w:proofErr w:type="spellEnd"/>
      <w:r w:rsidRPr="00DC51B5">
        <w:rPr>
          <w:rFonts w:ascii="Arial" w:hAnsi="Arial" w:cs="Arial"/>
          <w:color w:val="000000" w:themeColor="text1"/>
          <w:sz w:val="21"/>
          <w:szCs w:val="21"/>
          <w:shd w:val="clear" w:color="auto" w:fill="FFFFFF"/>
        </w:rPr>
        <w:t xml:space="preserve"> je </w:t>
      </w:r>
      <w:proofErr w:type="spellStart"/>
      <w:r w:rsidRPr="00DC51B5">
        <w:rPr>
          <w:rFonts w:ascii="Arial" w:hAnsi="Arial" w:cs="Arial"/>
          <w:color w:val="000000" w:themeColor="text1"/>
          <w:sz w:val="21"/>
          <w:szCs w:val="21"/>
          <w:shd w:val="clear" w:color="auto" w:fill="FFFFFF"/>
        </w:rPr>
        <w:t>naišao</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podnosioc</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zahtjeva</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pri</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prikupljanju</w:t>
      </w:r>
      <w:proofErr w:type="spellEnd"/>
      <w:r w:rsidRPr="00DC51B5">
        <w:rPr>
          <w:rFonts w:ascii="Arial" w:hAnsi="Arial" w:cs="Arial"/>
          <w:color w:val="000000" w:themeColor="text1"/>
          <w:sz w:val="21"/>
          <w:szCs w:val="21"/>
          <w:shd w:val="clear" w:color="auto" w:fill="FFFFFF"/>
        </w:rPr>
        <w:t xml:space="preserve"> </w:t>
      </w:r>
      <w:proofErr w:type="spellStart"/>
      <w:r w:rsidRPr="00DC51B5">
        <w:rPr>
          <w:rFonts w:ascii="Arial" w:hAnsi="Arial" w:cs="Arial"/>
          <w:color w:val="000000" w:themeColor="text1"/>
          <w:sz w:val="21"/>
          <w:szCs w:val="21"/>
          <w:shd w:val="clear" w:color="auto" w:fill="FFFFFF"/>
        </w:rPr>
        <w:t>podataka</w:t>
      </w:r>
      <w:proofErr w:type="spellEnd"/>
      <w:r w:rsidRPr="00DC51B5">
        <w:rPr>
          <w:rFonts w:ascii="Arial" w:hAnsi="Arial" w:cs="Arial"/>
          <w:color w:val="000000" w:themeColor="text1"/>
          <w:sz w:val="21"/>
          <w:szCs w:val="21"/>
          <w:shd w:val="clear" w:color="auto" w:fill="FFFFFF"/>
        </w:rPr>
        <w:t xml:space="preserve">, </w:t>
      </w:r>
    </w:p>
    <w:p w:rsidR="00DC51B5" w:rsidRPr="00DC51B5" w:rsidRDefault="00DC51B5" w:rsidP="00DC51B5">
      <w:pPr>
        <w:rPr>
          <w:rFonts w:ascii="Arial" w:hAnsi="Arial" w:cs="Arial"/>
          <w:noProof/>
          <w:color w:val="000000" w:themeColor="text1"/>
          <w:lang w:val="bs-Latn-BA"/>
        </w:rPr>
      </w:pPr>
      <w:r w:rsidRPr="00DC51B5">
        <w:rPr>
          <w:rFonts w:ascii="Arial" w:hAnsi="Arial" w:cs="Arial"/>
          <w:noProof/>
          <w:color w:val="000000" w:themeColor="text1"/>
          <w:lang w:val="bs-Latn-BA"/>
        </w:rPr>
        <w:t>9. Izjava o tačnosti, istinitosti i potpunosti podataka sadržanih u zahtjevu (prilog IV)</w:t>
      </w:r>
    </w:p>
    <w:p w:rsidR="00DC51B5" w:rsidRPr="00DC51B5" w:rsidRDefault="00DC51B5" w:rsidP="00DC51B5">
      <w:pPr>
        <w:rPr>
          <w:rFonts w:ascii="Arial" w:hAnsi="Arial" w:cs="Arial"/>
          <w:noProof/>
          <w:color w:val="000000" w:themeColor="text1"/>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sectPr w:rsidR="00DC51B5" w:rsidRPr="00DC51B5" w:rsidSect="00634878">
          <w:type w:val="continuous"/>
          <w:pgSz w:w="12240" w:h="15840"/>
          <w:pgMar w:top="1440" w:right="1080" w:bottom="1440" w:left="1440" w:header="720" w:footer="720" w:gutter="0"/>
          <w:cols w:space="720"/>
          <w:docGrid w:linePitch="360"/>
        </w:sectPr>
      </w:pP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lastRenderedPageBreak/>
        <w:t>PRILOG IV</w:t>
      </w:r>
    </w:p>
    <w:p w:rsidR="00DC51B5" w:rsidRPr="00DC51B5" w:rsidRDefault="00DC51B5" w:rsidP="00DC51B5">
      <w:pPr>
        <w:jc w:val="center"/>
        <w:rPr>
          <w:rFonts w:ascii="Arial" w:hAnsi="Arial" w:cs="Arial"/>
          <w:noProof/>
          <w:color w:val="000000" w:themeColor="text1"/>
          <w:lang w:val="bs-Latn-BA"/>
        </w:rPr>
      </w:pPr>
    </w:p>
    <w:p w:rsidR="00DC51B5" w:rsidRPr="00DC51B5" w:rsidRDefault="00DC51B5" w:rsidP="00DC51B5">
      <w:pPr>
        <w:ind w:right="-51"/>
        <w:rPr>
          <w:rFonts w:ascii="Arial" w:hAnsi="Arial" w:cs="Arial"/>
          <w:b/>
          <w:noProof/>
          <w:color w:val="000000" w:themeColor="text1"/>
          <w:sz w:val="24"/>
          <w:szCs w:val="24"/>
          <w:lang w:val="bs-Latn-BA"/>
        </w:rPr>
      </w:pPr>
      <w:r w:rsidRPr="00DC51B5">
        <w:rPr>
          <w:rFonts w:ascii="Arial" w:hAnsi="Arial" w:cs="Arial"/>
          <w:noProof/>
          <w:color w:val="000000" w:themeColor="text1"/>
          <w:lang w:val="bs-Latn-BA"/>
        </w:rPr>
        <w:t>Na osnovu člana 8. stav (4) Uredbe o projektima za koje je potrebna procjena uticaja na okoliš, daje se</w:t>
      </w:r>
    </w:p>
    <w:p w:rsidR="00DC51B5" w:rsidRPr="00DC51B5" w:rsidRDefault="00DC51B5" w:rsidP="00DC51B5">
      <w:pPr>
        <w:ind w:right="-51"/>
        <w:jc w:val="center"/>
        <w:rPr>
          <w:rFonts w:ascii="Arial" w:hAnsi="Arial" w:cs="Arial"/>
          <w:noProof/>
          <w:color w:val="000000" w:themeColor="text1"/>
          <w:lang w:val="bs-Latn-BA"/>
        </w:rPr>
      </w:pPr>
      <w:r w:rsidRPr="00DC51B5">
        <w:rPr>
          <w:rFonts w:ascii="Arial" w:hAnsi="Arial" w:cs="Arial"/>
          <w:b/>
          <w:noProof/>
          <w:color w:val="000000" w:themeColor="text1"/>
          <w:sz w:val="24"/>
          <w:szCs w:val="24"/>
          <w:lang w:val="bs-Latn-BA"/>
        </w:rPr>
        <w:t xml:space="preserve">Izjava </w:t>
      </w:r>
    </w:p>
    <w:p w:rsidR="00DC51B5" w:rsidRPr="00DC51B5" w:rsidRDefault="00DC51B5" w:rsidP="00DC51B5">
      <w:pPr>
        <w:ind w:right="-51"/>
        <w:jc w:val="center"/>
        <w:rPr>
          <w:rFonts w:ascii="Arial" w:hAnsi="Arial" w:cs="Arial"/>
          <w:noProof/>
          <w:color w:val="000000" w:themeColor="text1"/>
          <w:lang w:val="bs-Latn-BA"/>
        </w:rPr>
      </w:pPr>
      <w:r w:rsidRPr="00DC51B5">
        <w:rPr>
          <w:rFonts w:ascii="Arial" w:hAnsi="Arial" w:cs="Arial"/>
          <w:b/>
          <w:noProof/>
          <w:color w:val="000000" w:themeColor="text1"/>
          <w:lang w:val="bs-Latn-BA"/>
        </w:rPr>
        <w:t>o tačnosti, istinitosti i potpunosti podataka sadržanih u zahtjevu</w:t>
      </w: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Potvrđujem da su svi podaci sadržani u zahtjevu za prethodnu procjenu uticaja na okoliš istiniti, tačni i potpuni, što se utvrđuje na osnovu dokaza priloženih uz zahtjev.</w:t>
      </w:r>
    </w:p>
    <w:p w:rsidR="00DC51B5" w:rsidRPr="00DC51B5" w:rsidRDefault="00DC51B5" w:rsidP="00DC51B5">
      <w:pPr>
        <w:jc w:val="both"/>
        <w:rPr>
          <w:rFonts w:ascii="Arial" w:hAnsi="Arial" w:cs="Arial"/>
          <w:noProof/>
          <w:color w:val="000000" w:themeColor="text1"/>
          <w:lang w:val="bs-Latn-BA"/>
        </w:rPr>
      </w:pPr>
      <w:r w:rsidRPr="00DC51B5">
        <w:rPr>
          <w:rFonts w:ascii="Arial" w:hAnsi="Arial" w:cs="Arial"/>
          <w:noProof/>
          <w:color w:val="000000" w:themeColor="text1"/>
          <w:lang w:val="bs-Latn-BA"/>
        </w:rPr>
        <w:t>Ujedno izjavljujem da nemam primjedbu na zahtjeve Federalnog ministarstva okoliša i turizma  za kopiranje zahtjeva zbog informiranja javnosti.</w:t>
      </w: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 Datum: </w:t>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Potpis davaoca Izjave</w:t>
      </w: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___________________</w:t>
      </w:r>
    </w:p>
    <w:p w:rsidR="00DC51B5" w:rsidRPr="00DC51B5" w:rsidRDefault="00DC51B5" w:rsidP="00DC51B5">
      <w:pPr>
        <w:ind w:right="-51"/>
        <w:rPr>
          <w:rFonts w:ascii="Arial" w:hAnsi="Arial" w:cs="Arial"/>
          <w:noProof/>
          <w:color w:val="000000" w:themeColor="text1"/>
          <w:lang w:val="bs-Latn-BA"/>
        </w:rPr>
      </w:pP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(Ime i prezime)                                   </w:t>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w:t>
      </w:r>
    </w:p>
    <w:tbl>
      <w:tblPr>
        <w:tblW w:w="0" w:type="auto"/>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tblGrid>
      <w:tr w:rsidR="00DC51B5" w:rsidRPr="00DC51B5" w:rsidTr="00634878">
        <w:trPr>
          <w:trHeight w:val="2134"/>
        </w:trPr>
        <w:tc>
          <w:tcPr>
            <w:tcW w:w="2410" w:type="dxa"/>
            <w:vAlign w:val="center"/>
          </w:tcPr>
          <w:p w:rsidR="00DC51B5" w:rsidRPr="00DC51B5" w:rsidRDefault="00DC51B5" w:rsidP="00634878">
            <w:pPr>
              <w:ind w:right="-51"/>
              <w:jc w:val="center"/>
              <w:rPr>
                <w:rFonts w:ascii="Arial" w:hAnsi="Arial" w:cs="Arial"/>
                <w:noProof/>
                <w:color w:val="000000" w:themeColor="text1"/>
                <w:lang w:val="bs-Latn-BA"/>
              </w:rPr>
            </w:pPr>
            <w:r w:rsidRPr="00DC51B5">
              <w:rPr>
                <w:rFonts w:ascii="Arial" w:hAnsi="Arial" w:cs="Arial"/>
                <w:noProof/>
                <w:color w:val="000000" w:themeColor="text1"/>
                <w:lang w:val="bs-Latn-BA"/>
              </w:rPr>
              <w:t>Pečat organizacije:</w:t>
            </w:r>
          </w:p>
          <w:p w:rsidR="00DC51B5" w:rsidRPr="00DC51B5" w:rsidRDefault="00DC51B5" w:rsidP="00634878">
            <w:pPr>
              <w:ind w:right="-51"/>
              <w:jc w:val="center"/>
              <w:rPr>
                <w:rFonts w:ascii="Arial" w:hAnsi="Arial" w:cs="Arial"/>
                <w:noProof/>
                <w:color w:val="000000" w:themeColor="text1"/>
                <w:lang w:val="bs-Latn-BA"/>
              </w:rPr>
            </w:pPr>
          </w:p>
        </w:tc>
      </w:tr>
    </w:tbl>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 xml:space="preserve">      </w:t>
      </w: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w:t>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r>
      <w:r w:rsidRPr="00DC51B5">
        <w:rPr>
          <w:rFonts w:ascii="Arial" w:hAnsi="Arial" w:cs="Arial"/>
          <w:noProof/>
          <w:color w:val="000000" w:themeColor="text1"/>
          <w:lang w:val="bs-Latn-BA"/>
        </w:rPr>
        <w:tab/>
        <w:t xml:space="preserve">                           </w:t>
      </w: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ind w:right="-51"/>
        <w:jc w:val="both"/>
        <w:rPr>
          <w:rFonts w:ascii="Arial" w:hAnsi="Arial" w:cs="Arial"/>
          <w:noProof/>
          <w:color w:val="000000" w:themeColor="text1"/>
          <w:lang w:val="bs-Latn-BA"/>
        </w:rPr>
      </w:pP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PRILOG V</w:t>
      </w:r>
    </w:p>
    <w:p w:rsidR="00DC51B5" w:rsidRPr="00DC51B5" w:rsidRDefault="00DC51B5" w:rsidP="00DC51B5">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ČEKLISTA ZA PROVJERU ZAHTJEVA ZA PRETHODNU PROCJENU UTICAJA NA OKOLIŠ</w:t>
      </w:r>
    </w:p>
    <w:tbl>
      <w:tblPr>
        <w:tblStyle w:val="TableGrid"/>
        <w:tblW w:w="0" w:type="auto"/>
        <w:tblLook w:val="04A0" w:firstRow="1" w:lastRow="0" w:firstColumn="1" w:lastColumn="0" w:noHBand="0" w:noVBand="1"/>
      </w:tblPr>
      <w:tblGrid>
        <w:gridCol w:w="6295"/>
        <w:gridCol w:w="1890"/>
        <w:gridCol w:w="1525"/>
      </w:tblGrid>
      <w:tr w:rsidR="00DC51B5" w:rsidRPr="00DC51B5" w:rsidTr="00634878">
        <w:tc>
          <w:tcPr>
            <w:tcW w:w="629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PITANJA KOJA SE TREBAJU RAZMATRATI</w:t>
            </w:r>
          </w:p>
          <w:p w:rsidR="00DC51B5" w:rsidRPr="00DC51B5" w:rsidRDefault="00DC51B5" w:rsidP="00634878">
            <w:pPr>
              <w:jc w:val="center"/>
              <w:rPr>
                <w:rFonts w:ascii="Arial" w:hAnsi="Arial" w:cs="Arial"/>
                <w:b/>
                <w:noProof/>
                <w:color w:val="000000" w:themeColor="text1"/>
                <w:lang w:val="bs-Latn-BA"/>
              </w:rPr>
            </w:pPr>
          </w:p>
        </w:tc>
        <w:tc>
          <w:tcPr>
            <w:tcW w:w="1890"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DA/NE</w:t>
            </w:r>
          </w:p>
        </w:tc>
        <w:tc>
          <w:tcPr>
            <w:tcW w:w="1525" w:type="dxa"/>
          </w:tcPr>
          <w:p w:rsidR="00DC51B5" w:rsidRPr="00DC51B5" w:rsidRDefault="00DC51B5" w:rsidP="00634878">
            <w:pPr>
              <w:jc w:val="center"/>
              <w:rPr>
                <w:rFonts w:ascii="Arial" w:hAnsi="Arial" w:cs="Arial"/>
                <w:b/>
                <w:noProof/>
                <w:color w:val="000000" w:themeColor="text1"/>
                <w:lang w:val="bs-Latn-BA"/>
              </w:rPr>
            </w:pPr>
            <w:r w:rsidRPr="00DC51B5">
              <w:rPr>
                <w:rFonts w:ascii="Arial" w:hAnsi="Arial" w:cs="Arial"/>
                <w:b/>
                <w:noProof/>
                <w:color w:val="000000" w:themeColor="text1"/>
                <w:lang w:val="bs-Latn-BA"/>
              </w:rPr>
              <w:t>KOMENTAR</w:t>
            </w:r>
          </w:p>
        </w:tc>
      </w:tr>
      <w:tr w:rsidR="00DC51B5" w:rsidRPr="00DC51B5" w:rsidTr="00634878">
        <w:tc>
          <w:tcPr>
            <w:tcW w:w="6295" w:type="dxa"/>
            <w:shd w:val="clear" w:color="auto" w:fill="DEEAF6" w:themeFill="accent1" w:themeFillTint="33"/>
          </w:tcPr>
          <w:p w:rsidR="00DC51B5" w:rsidRPr="00DC51B5" w:rsidRDefault="00DC51B5" w:rsidP="00634878">
            <w:pPr>
              <w:rPr>
                <w:rFonts w:ascii="Arial" w:hAnsi="Arial" w:cs="Arial"/>
                <w:b/>
                <w:noProof/>
                <w:color w:val="000000" w:themeColor="text1"/>
                <w:lang w:val="bs-Latn-BA"/>
              </w:rPr>
            </w:pPr>
            <w:r w:rsidRPr="00DC51B5">
              <w:rPr>
                <w:rFonts w:ascii="Arial" w:hAnsi="Arial" w:cs="Arial"/>
                <w:b/>
                <w:noProof/>
                <w:color w:val="000000" w:themeColor="text1"/>
                <w:lang w:val="bs-Latn-BA"/>
              </w:rPr>
              <w:t xml:space="preserve">A. SADRŽAJ ZAHTJEVA </w:t>
            </w:r>
          </w:p>
        </w:tc>
        <w:tc>
          <w:tcPr>
            <w:tcW w:w="1890"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c>
          <w:tcPr>
            <w:tcW w:w="1525"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 Da li je sadržaj Zahtjeva za prethodnu procjenu uticaja na okoliš saglasan sa članom 69. Zakona o zaštiti okolliša?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 Da li je puni naziv projekta naveden na naslovnoj strani?</w:t>
            </w:r>
          </w:p>
          <w:p w:rsidR="00DC51B5" w:rsidRPr="00DC51B5" w:rsidRDefault="00DC51B5" w:rsidP="00634878">
            <w:pPr>
              <w:rPr>
                <w:rFonts w:ascii="Arial" w:hAnsi="Arial" w:cs="Arial"/>
                <w:noProof/>
                <w:color w:val="000000" w:themeColor="text1"/>
                <w:lang w:val="bs-Latn-BA"/>
              </w:rPr>
            </w:pP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3. Da li su navedeni puni podaci odgovorne osobe za projekat (ime, prezime, adresa, telefon, e-mail)?</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4. Da li Poglavlje A – Osnovne informacije sadrži slijedeće podatke: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opis projekta uključujući podatke o njegovoj veličini i namjeni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b/>
                <w:noProof/>
                <w:color w:val="000000" w:themeColor="text1"/>
                <w:lang w:val="bs-Latn-BA"/>
              </w:rPr>
            </w:pPr>
            <w:r w:rsidRPr="00DC51B5">
              <w:rPr>
                <w:rFonts w:ascii="Arial" w:hAnsi="Arial" w:cs="Arial"/>
                <w:noProof/>
                <w:color w:val="000000" w:themeColor="text1"/>
                <w:lang w:val="bs-Latn-BA"/>
              </w:rPr>
              <w:t>-</w:t>
            </w:r>
            <w:r w:rsidRPr="00DC51B5">
              <w:rPr>
                <w:rFonts w:ascii="Arial" w:hAnsi="Arial" w:cs="Arial"/>
                <w:b/>
                <w:noProof/>
                <w:color w:val="000000" w:themeColor="text1"/>
                <w:lang w:val="bs-Latn-BA"/>
              </w:rPr>
              <w:t xml:space="preserve"> </w:t>
            </w:r>
            <w:r w:rsidRPr="00DC51B5">
              <w:rPr>
                <w:rFonts w:ascii="Arial" w:hAnsi="Arial" w:cs="Arial"/>
                <w:noProof/>
                <w:color w:val="000000" w:themeColor="text1"/>
                <w:lang w:val="bs-Latn-BA"/>
              </w:rPr>
              <w:t>broj izvoda iz prostorno-planskog akta (sa izvodom iz planskog akta u prilogu)</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opis kumulativnog uticaja sa postojećim i/ili odobrenim projektima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vlaništvo nad zemljištem i/ili objektom na kojem se nalazi projekat</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detaljan opis okoliša na području pod uticajem projekta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vrstu i količinu osnovnih i pomoćnih sirovina, dodatnih materijala i ostalih supstanci koji će biti korišteni u svakoj od faza projekta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korištenje prirodnih resursa (posebno tla, zemljišta, vode i biološke raznolikosti) prilikom pripreme, izgradnje, rada ili prestanka rada projekta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vrstu i količinu emisija nastalih zbog pripreme, izgradnje, rada ili prestanka rada projekta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tabs>
                <w:tab w:val="left" w:pos="720"/>
              </w:tabs>
              <w:spacing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 opis i kratak pregled alternativnih rješenja sa obzirom na uticaje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tabs>
                <w:tab w:val="left" w:pos="720"/>
              </w:tabs>
              <w:spacing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 opis rizika od velikih nesreća i/ili katastrofa koje su relevantne za projekat, uključujući one koje se odnose na promjenu klime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tabs>
                <w:tab w:val="left" w:pos="720"/>
              </w:tabs>
              <w:spacing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 opis rizika po ljudsko zdravlje.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b/>
                <w:noProof/>
                <w:color w:val="000000" w:themeColor="text1"/>
                <w:lang w:val="bs-Latn-BA"/>
              </w:rPr>
            </w:pPr>
            <w:r w:rsidRPr="00DC51B5">
              <w:rPr>
                <w:rFonts w:ascii="Arial" w:hAnsi="Arial" w:cs="Arial"/>
                <w:noProof/>
                <w:color w:val="000000" w:themeColor="text1"/>
                <w:lang w:val="bs-Latn-BA"/>
              </w:rPr>
              <w:t>5. Da li Poglavlje B - Lokacija projekta i osjetljivost okoliša geografskih područja za koja je vjerovatno da bi projekti mogli na njih značajno uticati sadrži slijedeće podatke:</w:t>
            </w:r>
          </w:p>
          <w:p w:rsidR="00DC51B5" w:rsidRPr="00DC51B5" w:rsidRDefault="00DC51B5" w:rsidP="00634878">
            <w:pPr>
              <w:rPr>
                <w:rFonts w:ascii="Arial" w:hAnsi="Arial" w:cs="Arial"/>
                <w:noProof/>
                <w:color w:val="000000" w:themeColor="text1"/>
                <w:lang w:val="bs-Latn-BA"/>
              </w:rPr>
            </w:pP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postojeća i odobrena upotreba zemljišta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opis relativne raspoloživosti, kvaliteta i regenerativnog kapaciteta prirodnih resursa (uključujući tlo, zemljište, vodu i biološku raznolikost) tog područja i njegovog podzemnog dijela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opis apsorpcionog kapaciteta prirodne sredine, obraćajući posebnu pažnju na slijedeća područja:</w:t>
            </w:r>
          </w:p>
          <w:p w:rsidR="00DC51B5" w:rsidRPr="00DC51B5" w:rsidRDefault="00DC51B5" w:rsidP="00634878">
            <w:pPr>
              <w:tabs>
                <w:tab w:val="left" w:pos="720"/>
              </w:tabs>
              <w:spacing w:line="276" w:lineRule="auto"/>
              <w:jc w:val="both"/>
              <w:rPr>
                <w:rFonts w:ascii="Arial" w:hAnsi="Arial" w:cs="Arial"/>
                <w:noProof/>
                <w:color w:val="000000" w:themeColor="text1"/>
                <w:lang w:val="bs-Latn-BA"/>
              </w:rPr>
            </w:pPr>
            <w:r w:rsidRPr="00DC51B5">
              <w:rPr>
                <w:rFonts w:ascii="Arial" w:hAnsi="Arial" w:cs="Arial"/>
                <w:noProof/>
                <w:color w:val="000000" w:themeColor="text1"/>
                <w:lang w:val="bs-Latn-BA"/>
              </w:rPr>
              <w:t>a) močvarna područja, obalna područja rijeka i ušća rijeka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 obalna područja i morski okoliš</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 planinska, šumska i kraška područja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 zaštićena prirodna područja i nacionalne parkove</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e) spomenike prirode i zaštićene pejzaže</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f) područja rijetkih i ugroženih biljnih i životinjskih vrsta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g) područja na kojima još od ranije nisu bili zadovoljeni standardi kvaliteta okoliša koji su relevantni za projekat ili u odnosu na koja se smatra da isti nisu zadovoljeni</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h) gusto naseljena područja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i) pejzaži i područja od historijskog, kulturnog ili arheološkog značaja.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b/>
                <w:noProof/>
                <w:color w:val="000000" w:themeColor="text1"/>
                <w:lang w:val="bs-Latn-BA"/>
              </w:rPr>
            </w:pPr>
            <w:r w:rsidRPr="00DC51B5">
              <w:rPr>
                <w:rFonts w:ascii="Arial" w:hAnsi="Arial" w:cs="Arial"/>
                <w:noProof/>
                <w:color w:val="000000" w:themeColor="text1"/>
                <w:lang w:val="bs-Latn-BA"/>
              </w:rPr>
              <w:t>6. Da li Poglavlje C - Karakteristike potencijalnog uticaja na okoliš sadrži slijedeće podatke:</w:t>
            </w:r>
          </w:p>
          <w:p w:rsidR="00DC51B5" w:rsidRPr="00DC51B5" w:rsidRDefault="00DC51B5" w:rsidP="00634878">
            <w:pPr>
              <w:rPr>
                <w:color w:val="000000" w:themeColor="text1"/>
                <w:lang w:val="bs-Latn-BA"/>
              </w:rPr>
            </w:pP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 veličinu i prostorni obuhvat geografskog područja na koje bi projekat mogao uticati (sa unesenim tačnim koordinatima geografskog područja)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broj stanovnika na koje bi projekat mogao uticati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način uticaja projekta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identifikacija faktora na koje projekat ima uticaj:</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 ljude, biljni i životinjski svijet i svijet gljiva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 tlo, vodu, zrak, klimu i pejzaž</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 materijalna dobra i kulturno naslijeđe</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d) međudjelovanje faktora od a) do c)</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progranični/prekoentitetski uticaj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intenzitet i složenost uticaja projekta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vjerovatnoća nastanka uticaja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nastanak, trajanje, učestalost i reverzibilnost uticaja (u vremenskim intervalima)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mogućnost djelotvornog smanjivanja uticaja i planirane aktivnosti njegovog smanjenja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7. Da li Poglavlje D – Dodatne informacije sadrži slijedeće podatke: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projekat će značajno koristiti prirodni resurs ili će koristiti prirodni resurs na način da spriječi upotrebu ili potencijalnu upotrebu tog resursa u druge svrhe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potencijalni trajni uticaji na okoliš će najvjerovatnije biti minorni, od manje važnosti i jednostavno ublaženi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tip projekta, njegov uticaj na okoliš i mjere upravljanja tim uticajima su dobro poznati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postoji pouzdan način kojim se može osigurati da mjere za upravljanje uticajima mogu biti, i biti će, adekvatno planirane i implementrane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projekat će izmjestiti značajan broj ljudi, porodica i životnih zajednica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projekat je lociran i utjecati će na ekološki osjetljiva područja navedena u članu 20., stav 1., tačka 2., alineja 3. ove Uredbe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Projekat će dovesti do izmjena: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 vlasništu i namjeni zemljišta, i/ili</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upotrebi vode kroz irigaciju, unapređenje isušivanja ili izmjeni toka vode izgradnjom brana, i do izmjena u ribarskim praksama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Projekat će dovesti do: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nepovoljnih socio-ekonomskih uticaja;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uništenja zemljišta;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zagađenja vode;</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zagađenja zraka;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ugrožavanje biljnog i životinjskog svijeta i njihovih staništa;</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nastanka nusprodukata, ostataka materijala i otpada koji zahtijevaju rukovanje i odlaganje na način koji nije regulisan zakonom.</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projekat će imati uticaj na javnost zbog potencijalnih negativnih uticaja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nakon izgradnje, projekat će zahtijevati dodatne razvojne aktivnosti koje mogu imati negativan uticaj na okoliš</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shd w:val="clear" w:color="auto" w:fill="DEEAF6" w:themeFill="accent1" w:themeFillTint="33"/>
          </w:tcPr>
          <w:p w:rsidR="00DC51B5" w:rsidRPr="00DC51B5" w:rsidRDefault="00DC51B5" w:rsidP="00634878">
            <w:pPr>
              <w:rPr>
                <w:rFonts w:ascii="Arial" w:hAnsi="Arial" w:cs="Arial"/>
                <w:noProof/>
                <w:color w:val="000000" w:themeColor="text1"/>
                <w:lang w:val="bs-Latn-BA"/>
              </w:rPr>
            </w:pPr>
            <w:r w:rsidRPr="00DC51B5">
              <w:rPr>
                <w:rFonts w:ascii="Arial" w:hAnsi="Arial" w:cs="Arial"/>
                <w:b/>
                <w:noProof/>
                <w:color w:val="000000" w:themeColor="text1"/>
                <w:lang w:val="bs-Latn-BA"/>
              </w:rPr>
              <w:t>B. PODNOŠENJE ZAHTJEVA</w:t>
            </w:r>
          </w:p>
        </w:tc>
        <w:tc>
          <w:tcPr>
            <w:tcW w:w="1890"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c>
          <w:tcPr>
            <w:tcW w:w="1525"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1. Da li su slijedeći dokumenti predati na protokol Federalnog ministarstva okoliša i turizma?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jedna uvezana kopija zahtjeva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jedna elektronska kopija zahtjeva na memorijskom stiku ili CD-u</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 Da li je uz zahtjev priložena uplatnica o federalnoj administrativnoj taksi uplaćenoj na ime Budžeta FBiH?</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shd w:val="clear" w:color="auto" w:fill="DEEAF6" w:themeFill="accent1" w:themeFillTint="33"/>
          </w:tcPr>
          <w:p w:rsidR="00DC51B5" w:rsidRPr="00DC51B5" w:rsidRDefault="00DC51B5" w:rsidP="00634878">
            <w:pPr>
              <w:rPr>
                <w:rFonts w:ascii="Arial" w:hAnsi="Arial" w:cs="Arial"/>
                <w:b/>
                <w:noProof/>
                <w:color w:val="000000" w:themeColor="text1"/>
                <w:lang w:val="bs-Latn-BA"/>
              </w:rPr>
            </w:pPr>
            <w:r w:rsidRPr="00DC51B5">
              <w:rPr>
                <w:rFonts w:ascii="Arial" w:hAnsi="Arial" w:cs="Arial"/>
                <w:b/>
                <w:noProof/>
                <w:color w:val="000000" w:themeColor="text1"/>
                <w:lang w:val="bs-Latn-BA"/>
              </w:rPr>
              <w:t>C. NAKON PREDAJE ZAHTJEVA ZA PRETHODNU PUO</w:t>
            </w:r>
          </w:p>
        </w:tc>
        <w:tc>
          <w:tcPr>
            <w:tcW w:w="1890"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c>
          <w:tcPr>
            <w:tcW w:w="1525"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 Da li je Federalno ministarstvo dostavilo kopiju zahtjeva i osiguralo besplatan uvid u priložena dokumenta radi pribavljanja mišljenja sljedećim subjektima: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nadležnom organu uprave u kantonu i jedinici lokalne samouprave na čijem se području projekat izvodi,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organima uprave i organizacijama nadležnim za zaštitu komponenti okoliša, koji izvođenjem projekta mogu biti izloženi njegovom znatnom uticaju, i to:</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 nadležnim za zaštitu kulturno-historijskog i prirodnog nasljeđa,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b) nadležnim za zaštitu zdravlja,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c) drugim zainteresovanim stranama 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organu nadležnom za zaštitu okoliša drugog entiteta i Brčko Distrikta, ako je riječ o projektu sa znatnim uticajem na okoliš drugog entiteta ili Brčko Distrikta, ili druge države, u skladu sa Zakonom,</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zainteresovanoj javnosti.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2. Da li su subjekti iz prethodnog pitanja dostavili svoje mišljenje Federalnom mnistarstvu u vezi sa zahtjevom i priloženom dokumentacijom u skladu sa zakonskim rokom od 30 dana od dana prijema kopije zahtjeva u pisanoj formi?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3. Da li je Federalno ministarstvo uzelo u obzir sva dostavljenja mišljenja subjekata iz prvog pitanja prilikom donošenja odluke?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4. Da li je projekat predmet Priloga I. ove Uredbe i čl. 68 st. 2 Zakona? </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Ako jeste, Federalno ministarstvo donosi rješenje o obaveznom provođenju procjene uticaja na okoliš, te se određuje obaveza izrade Studije o procjeni uticaja na okoliš, obim i sadržaj Studije. Rješenje se donosi u roku od 60 dana od dana prijema zahtjeva.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5. Da li je projekat predmet Priloga II. ove Uredbe? </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Ako jeste, Federalno ministarstvo uzima u obzir kriterije i dodatne informacije sadržane u čl. 6 i 7 ove Uredbe, te odlučuje u vidu rješenja da li je potrebno provođenje procjene uticaja na okoliš.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Rješenje se donosi u roku od 60 dana od dana prijema zahtjeva.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6. Da li je projekat predmet člana 8. ove Uredbe?</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Ako jeste, Federalno ministarstvo će donijeti rješenje da nije potrebno dalje provođenje procjene uticaja na okoliš. </w:t>
            </w: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Rješenje se donosi u roku od 60 dana od dana prijema zahtjeva.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7. Da li je Federalno ministarstvo u roku od 8 dana od donošenja rješenja o procjeni uticaja na okoliš postavilo na internet stranicu Federalnog ministarstva?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shd w:val="clear" w:color="auto" w:fill="DEEAF6" w:themeFill="accent1" w:themeFillTint="33"/>
          </w:tcPr>
          <w:p w:rsidR="00DC51B5" w:rsidRPr="00DC51B5" w:rsidRDefault="00DC51B5" w:rsidP="00634878">
            <w:pPr>
              <w:rPr>
                <w:rFonts w:ascii="Arial" w:hAnsi="Arial" w:cs="Arial"/>
                <w:b/>
                <w:noProof/>
                <w:color w:val="000000" w:themeColor="text1"/>
                <w:lang w:val="bs-Latn-BA"/>
              </w:rPr>
            </w:pPr>
            <w:r w:rsidRPr="00DC51B5">
              <w:rPr>
                <w:rFonts w:ascii="Arial" w:hAnsi="Arial" w:cs="Arial"/>
                <w:b/>
                <w:noProof/>
                <w:color w:val="000000" w:themeColor="text1"/>
                <w:lang w:val="bs-Latn-BA"/>
              </w:rPr>
              <w:t xml:space="preserve">D. NAREDNI KORACI </w:t>
            </w:r>
          </w:p>
        </w:tc>
        <w:tc>
          <w:tcPr>
            <w:tcW w:w="1890"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c>
          <w:tcPr>
            <w:tcW w:w="1525" w:type="dxa"/>
            <w:shd w:val="clear" w:color="auto" w:fill="DEEAF6" w:themeFill="accent1" w:themeFillTint="33"/>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lastRenderedPageBreak/>
              <w:t>1. Da li je podnosilac zahtjeva odabrao ovlaštenog nosioca izrade Studije?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2. Da li ovlašteni nosilac izrade Studije ispunjava uslove iz čl. 73., st. 2.?</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3. Da li je Studija pripremljena u skladu sa čl. 9 ove Uredbe i rješenjem?</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4. Da li je podnosilac zahtjeva dostavio Federalnom ministarstvu po jedan primjerak Studije u pisanoj i elektronskoj formi u roku od 30 dana od dana prijema Studije od nosioca izrade studije?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5. Da li je Federalno ministarstvo u roku od 15 dana od dana prijema Studije, dostavilo elektronsku kopiju Studije zainteresiranim organima i zainteresiranoj javnosti i objavilo Studiju na internet stranici?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6.Da li je u postupku ocjene Studije Federalno ministarstvo obavjestilo i pozvalo javnost na javnu raspravu o Studiji na način propisan članom 40. Zakona?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7. Da li je Federalno ministarstvo provelu javnu raspravu u skladu sa čl. 76. i 77. Zakona?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8. Da li je Stručna komisija izvršilo ocjenu Studije u roku od 30 dana od dana održavanja javne rasprave?</w:t>
            </w:r>
            <w:r w:rsidRPr="00DC51B5">
              <w:rPr>
                <w:color w:val="000000" w:themeColor="text1"/>
                <w:lang w:val="bs-Latn-BA"/>
              </w:rPr>
              <w:t xml:space="preserve">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9. Da li je Studija koja sadrži nedostatke vraćena podnosiocu zahtjeva na doradu u skladu sa primjedbama stručne komisije i dostavljenim primjedbama zainteresiranih organa i javnosti? </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Ukoliko jeste, Podnosilac zahtjeva je dužan u roku od 30 dana dostaviti potrebne izmjene/dopune studije uticaja nakon čega ministarstvo obavještava zainteresovanu javnost o izmjenama/dopunama koje je podnosilac dostavio. U skladu sa čl. 78. st. 3. Zakona, Studija može biti vraćena samo jednom radi dorade.</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10. Da li je Federalno ministarstvo donijelo rješenje o odobravanju ili odbijanju studije u roku od 60 dana od završetka postupka ocjene Studije i dostavilo ga podnosiocu zahtjeva i zainteresovanim stranama iz člana 75. stav (2) Zakona?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11. Da li je Studija odobrena?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12. Da li je Studija odbijena? </w:t>
            </w:r>
          </w:p>
          <w:p w:rsidR="00DC51B5" w:rsidRPr="00DC51B5" w:rsidRDefault="00DC51B5" w:rsidP="00634878">
            <w:pPr>
              <w:rPr>
                <w:rFonts w:ascii="Arial" w:hAnsi="Arial" w:cs="Arial"/>
                <w:noProof/>
                <w:color w:val="000000" w:themeColor="text1"/>
                <w:lang w:val="bs-Latn-BA"/>
              </w:rPr>
            </w:pPr>
          </w:p>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Ako jeste, zbog kojih razloga?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utvrđeno je da bi projekat mogao izazvati znatno zagađivanje okoliša ili u znatnoj mjeri ugroziti okoliš,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xml:space="preserve">- projekat nije u skladu sa Federalnom strategijom zaštite okoliša i Akcionim planom zaštite okoliša, </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 projekat nije u skladu sa međunarodnim obavezama države po pitanju zaštite okoliša.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13. Da li je rješenje o Studiji objavljeno na internet stranici Federalnog ministarstva?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14. Da li je Federalno ministarstvo proslijedilo rješenje drugom entitetu/državi na koju projekt može imati uticaj u slučaju prekograničnog uticaja?</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r w:rsidR="00DC51B5" w:rsidRPr="00DC51B5" w:rsidTr="00634878">
        <w:tc>
          <w:tcPr>
            <w:tcW w:w="6295" w:type="dxa"/>
          </w:tcPr>
          <w:p w:rsidR="00DC51B5" w:rsidRPr="00DC51B5" w:rsidRDefault="00DC51B5" w:rsidP="00634878">
            <w:pPr>
              <w:rPr>
                <w:rFonts w:ascii="Arial" w:hAnsi="Arial" w:cs="Arial"/>
                <w:noProof/>
                <w:color w:val="000000" w:themeColor="text1"/>
                <w:lang w:val="bs-Latn-BA"/>
              </w:rPr>
            </w:pPr>
            <w:r w:rsidRPr="00DC51B5">
              <w:rPr>
                <w:rFonts w:ascii="Arial" w:hAnsi="Arial" w:cs="Arial"/>
                <w:noProof/>
                <w:color w:val="000000" w:themeColor="text1"/>
                <w:lang w:val="bs-Latn-BA"/>
              </w:rPr>
              <w:t>15. Da li je podnosilac zahtjeva pribavio odobrenje za građenje u roku od 3 godine od dana prijema rješenja? Ukoliko nije, rješenje o odobravanju Studije prestaje da važi.</w:t>
            </w:r>
          </w:p>
        </w:tc>
        <w:tc>
          <w:tcPr>
            <w:tcW w:w="1890" w:type="dxa"/>
          </w:tcPr>
          <w:p w:rsidR="00DC51B5" w:rsidRPr="00DC51B5" w:rsidRDefault="00DC51B5" w:rsidP="00634878">
            <w:pPr>
              <w:jc w:val="center"/>
              <w:rPr>
                <w:rFonts w:ascii="Arial" w:hAnsi="Arial" w:cs="Arial"/>
                <w:b/>
                <w:noProof/>
                <w:color w:val="000000" w:themeColor="text1"/>
                <w:lang w:val="bs-Latn-BA"/>
              </w:rPr>
            </w:pPr>
          </w:p>
        </w:tc>
        <w:tc>
          <w:tcPr>
            <w:tcW w:w="1525" w:type="dxa"/>
          </w:tcPr>
          <w:p w:rsidR="00DC51B5" w:rsidRPr="00DC51B5" w:rsidRDefault="00DC51B5" w:rsidP="00634878">
            <w:pPr>
              <w:jc w:val="center"/>
              <w:rPr>
                <w:rFonts w:ascii="Arial" w:hAnsi="Arial" w:cs="Arial"/>
                <w:b/>
                <w:noProof/>
                <w:color w:val="000000" w:themeColor="text1"/>
                <w:lang w:val="bs-Latn-BA"/>
              </w:rPr>
            </w:pPr>
          </w:p>
        </w:tc>
      </w:tr>
    </w:tbl>
    <w:p w:rsidR="00DC51B5" w:rsidRPr="00DC51B5" w:rsidRDefault="00DC51B5" w:rsidP="00DC51B5">
      <w:pPr>
        <w:jc w:val="center"/>
        <w:rPr>
          <w:rFonts w:ascii="Arial" w:hAnsi="Arial" w:cs="Arial"/>
          <w:b/>
          <w:noProof/>
          <w:color w:val="000000" w:themeColor="text1"/>
          <w:lang w:val="bs-Latn-BA"/>
        </w:rPr>
      </w:pPr>
    </w:p>
    <w:p w:rsidR="00DC51B5" w:rsidRPr="00DC51B5" w:rsidRDefault="00DC51B5" w:rsidP="00DC51B5">
      <w:pPr>
        <w:tabs>
          <w:tab w:val="left" w:pos="720"/>
        </w:tabs>
        <w:spacing w:after="0" w:line="276" w:lineRule="auto"/>
        <w:jc w:val="both"/>
        <w:rPr>
          <w:rFonts w:ascii="Arial" w:hAnsi="Arial" w:cs="Arial"/>
          <w:noProof/>
          <w:color w:val="000000" w:themeColor="text1"/>
          <w:lang w:val="bs-Latn-BA"/>
        </w:rPr>
      </w:pPr>
    </w:p>
    <w:p w:rsidR="00A167DC" w:rsidRPr="00DC51B5" w:rsidRDefault="00A167DC">
      <w:pPr>
        <w:rPr>
          <w:color w:val="000000" w:themeColor="text1"/>
        </w:rPr>
      </w:pPr>
    </w:p>
    <w:sectPr w:rsidR="00A167DC" w:rsidRPr="00DC51B5" w:rsidSect="00634878">
      <w:type w:val="continuous"/>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C4C"/>
    <w:multiLevelType w:val="hybridMultilevel"/>
    <w:tmpl w:val="1BA04D60"/>
    <w:lvl w:ilvl="0" w:tplc="F49CAC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4E4"/>
    <w:multiLevelType w:val="hybridMultilevel"/>
    <w:tmpl w:val="BDDAD0EC"/>
    <w:lvl w:ilvl="0" w:tplc="F49CAC0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04289"/>
    <w:multiLevelType w:val="hybridMultilevel"/>
    <w:tmpl w:val="C8BA43A0"/>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70F51"/>
    <w:multiLevelType w:val="singleLevel"/>
    <w:tmpl w:val="7EF0507C"/>
    <w:lvl w:ilvl="0">
      <w:start w:val="1"/>
      <w:numFmt w:val="lowerLetter"/>
      <w:lvlText w:val="(%1)"/>
      <w:lvlJc w:val="left"/>
      <w:pPr>
        <w:tabs>
          <w:tab w:val="num" w:pos="690"/>
        </w:tabs>
        <w:ind w:left="690" w:hanging="390"/>
      </w:pPr>
    </w:lvl>
  </w:abstractNum>
  <w:abstractNum w:abstractNumId="4">
    <w:nsid w:val="07660BC5"/>
    <w:multiLevelType w:val="hybridMultilevel"/>
    <w:tmpl w:val="2AA8EB68"/>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E46BFD"/>
    <w:multiLevelType w:val="hybridMultilevel"/>
    <w:tmpl w:val="3ADC5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97071"/>
    <w:multiLevelType w:val="hybridMultilevel"/>
    <w:tmpl w:val="F0544C54"/>
    <w:lvl w:ilvl="0" w:tplc="49DCC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834054"/>
    <w:multiLevelType w:val="hybridMultilevel"/>
    <w:tmpl w:val="C8BA43A0"/>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6B49AB"/>
    <w:multiLevelType w:val="hybridMultilevel"/>
    <w:tmpl w:val="934E81EA"/>
    <w:lvl w:ilvl="0" w:tplc="7972B016">
      <w:start w:val="1"/>
      <w:numFmt w:val="bullet"/>
      <w:lvlText w:val=""/>
      <w:lvlJc w:val="left"/>
      <w:pPr>
        <w:ind w:left="720" w:hanging="360"/>
      </w:pPr>
      <w:rPr>
        <w:rFonts w:ascii="Symbol" w:hAnsi="Symbol" w:hint="default"/>
      </w:rPr>
    </w:lvl>
    <w:lvl w:ilvl="1" w:tplc="7972B0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B1123"/>
    <w:multiLevelType w:val="hybridMultilevel"/>
    <w:tmpl w:val="C8BA43A0"/>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0E420D"/>
    <w:multiLevelType w:val="hybridMultilevel"/>
    <w:tmpl w:val="61EAC5A8"/>
    <w:lvl w:ilvl="0" w:tplc="715E9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F2D6C"/>
    <w:multiLevelType w:val="hybridMultilevel"/>
    <w:tmpl w:val="BD945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375A2"/>
    <w:multiLevelType w:val="hybridMultilevel"/>
    <w:tmpl w:val="3F82F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A4106"/>
    <w:multiLevelType w:val="hybridMultilevel"/>
    <w:tmpl w:val="C8BA43A0"/>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B06F6D"/>
    <w:multiLevelType w:val="hybridMultilevel"/>
    <w:tmpl w:val="1074A1AE"/>
    <w:lvl w:ilvl="0" w:tplc="F49CAC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556A9"/>
    <w:multiLevelType w:val="hybridMultilevel"/>
    <w:tmpl w:val="F08856C8"/>
    <w:lvl w:ilvl="0" w:tplc="05C479B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8E8"/>
    <w:multiLevelType w:val="hybridMultilevel"/>
    <w:tmpl w:val="3F82F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4455B"/>
    <w:multiLevelType w:val="hybridMultilevel"/>
    <w:tmpl w:val="43E63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C3D11"/>
    <w:multiLevelType w:val="hybridMultilevel"/>
    <w:tmpl w:val="02BAF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761DE"/>
    <w:multiLevelType w:val="hybridMultilevel"/>
    <w:tmpl w:val="7D581C70"/>
    <w:lvl w:ilvl="0" w:tplc="7972B0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A0CA7"/>
    <w:multiLevelType w:val="hybridMultilevel"/>
    <w:tmpl w:val="48707038"/>
    <w:lvl w:ilvl="0" w:tplc="F49CAC0A">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3E512C0"/>
    <w:multiLevelType w:val="hybridMultilevel"/>
    <w:tmpl w:val="92987972"/>
    <w:lvl w:ilvl="0" w:tplc="9148F69E">
      <w:start w:val="1"/>
      <w:numFmt w:val="lowerLetter"/>
      <w:lvlText w:val="%1)"/>
      <w:lvlJc w:val="left"/>
      <w:pPr>
        <w:ind w:left="720" w:hanging="360"/>
      </w:pPr>
      <w:rPr>
        <w:rFonts w:hint="default"/>
        <w:b w:val="0"/>
      </w:rPr>
    </w:lvl>
    <w:lvl w:ilvl="1" w:tplc="2FD2EE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C5AD4"/>
    <w:multiLevelType w:val="hybridMultilevel"/>
    <w:tmpl w:val="954C0CF6"/>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02309"/>
    <w:multiLevelType w:val="hybridMultilevel"/>
    <w:tmpl w:val="3F82F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83690"/>
    <w:multiLevelType w:val="hybridMultilevel"/>
    <w:tmpl w:val="D58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24692"/>
    <w:multiLevelType w:val="hybridMultilevel"/>
    <w:tmpl w:val="2AB49352"/>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F16D7"/>
    <w:multiLevelType w:val="hybridMultilevel"/>
    <w:tmpl w:val="D9727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EC671E6"/>
    <w:multiLevelType w:val="singleLevel"/>
    <w:tmpl w:val="0409000F"/>
    <w:lvl w:ilvl="0">
      <w:start w:val="1"/>
      <w:numFmt w:val="decimal"/>
      <w:lvlText w:val="%1."/>
      <w:lvlJc w:val="left"/>
      <w:pPr>
        <w:tabs>
          <w:tab w:val="num" w:pos="360"/>
        </w:tabs>
        <w:ind w:left="360" w:hanging="360"/>
      </w:pPr>
    </w:lvl>
  </w:abstractNum>
  <w:abstractNum w:abstractNumId="28">
    <w:nsid w:val="3FDD4669"/>
    <w:multiLevelType w:val="hybridMultilevel"/>
    <w:tmpl w:val="69708C2C"/>
    <w:lvl w:ilvl="0" w:tplc="F49CAC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A32EE"/>
    <w:multiLevelType w:val="hybridMultilevel"/>
    <w:tmpl w:val="F5BAA5DA"/>
    <w:lvl w:ilvl="0" w:tplc="FB06D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02A21"/>
    <w:multiLevelType w:val="hybridMultilevel"/>
    <w:tmpl w:val="C32ABD44"/>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81413"/>
    <w:multiLevelType w:val="hybridMultilevel"/>
    <w:tmpl w:val="3C8674F0"/>
    <w:lvl w:ilvl="0" w:tplc="CC08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FA7838"/>
    <w:multiLevelType w:val="singleLevel"/>
    <w:tmpl w:val="ACCEEBFE"/>
    <w:lvl w:ilvl="0">
      <w:start w:val="1"/>
      <w:numFmt w:val="bullet"/>
      <w:lvlText w:val="-"/>
      <w:lvlJc w:val="left"/>
      <w:pPr>
        <w:tabs>
          <w:tab w:val="num" w:pos="720"/>
        </w:tabs>
        <w:ind w:left="720" w:hanging="360"/>
      </w:pPr>
    </w:lvl>
  </w:abstractNum>
  <w:abstractNum w:abstractNumId="33">
    <w:nsid w:val="56233ABD"/>
    <w:multiLevelType w:val="hybridMultilevel"/>
    <w:tmpl w:val="32EE2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95D8E"/>
    <w:multiLevelType w:val="hybridMultilevel"/>
    <w:tmpl w:val="B9163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C61E2"/>
    <w:multiLevelType w:val="hybridMultilevel"/>
    <w:tmpl w:val="3ADC5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E0F50"/>
    <w:multiLevelType w:val="hybridMultilevel"/>
    <w:tmpl w:val="BD945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52138"/>
    <w:multiLevelType w:val="hybridMultilevel"/>
    <w:tmpl w:val="C8BA43A0"/>
    <w:lvl w:ilvl="0" w:tplc="A2E6C7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523209"/>
    <w:multiLevelType w:val="hybridMultilevel"/>
    <w:tmpl w:val="59FA33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60E61D5"/>
    <w:multiLevelType w:val="hybridMultilevel"/>
    <w:tmpl w:val="F64441E6"/>
    <w:lvl w:ilvl="0" w:tplc="7972B0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34DC3"/>
    <w:multiLevelType w:val="multilevel"/>
    <w:tmpl w:val="1BC481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744461"/>
    <w:multiLevelType w:val="hybridMultilevel"/>
    <w:tmpl w:val="065664BA"/>
    <w:lvl w:ilvl="0" w:tplc="9C388D02">
      <w:numFmt w:val="bullet"/>
      <w:lvlText w:val="-"/>
      <w:lvlJc w:val="left"/>
      <w:pPr>
        <w:ind w:left="2520" w:hanging="360"/>
      </w:p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2">
    <w:nsid w:val="735016B4"/>
    <w:multiLevelType w:val="hybridMultilevel"/>
    <w:tmpl w:val="3D567606"/>
    <w:lvl w:ilvl="0" w:tplc="7972B01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411DEE"/>
    <w:multiLevelType w:val="hybridMultilevel"/>
    <w:tmpl w:val="C152DC9A"/>
    <w:lvl w:ilvl="0" w:tplc="7972B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B7A84"/>
    <w:multiLevelType w:val="hybridMultilevel"/>
    <w:tmpl w:val="B7002B8C"/>
    <w:lvl w:ilvl="0" w:tplc="B6F2DB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startOverride w:val="1"/>
    </w:lvlOverride>
  </w:num>
  <w:num w:numId="6">
    <w:abstractNumId w:val="41"/>
  </w:num>
  <w:num w:numId="7">
    <w:abstractNumId w:val="12"/>
  </w:num>
  <w:num w:numId="8">
    <w:abstractNumId w:val="11"/>
  </w:num>
  <w:num w:numId="9">
    <w:abstractNumId w:val="5"/>
  </w:num>
  <w:num w:numId="10">
    <w:abstractNumId w:val="34"/>
  </w:num>
  <w:num w:numId="11">
    <w:abstractNumId w:val="27"/>
    <w:lvlOverride w:ilvl="0">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8"/>
  </w:num>
  <w:num w:numId="17">
    <w:abstractNumId w:val="24"/>
  </w:num>
  <w:num w:numId="18">
    <w:abstractNumId w:val="16"/>
  </w:num>
  <w:num w:numId="19">
    <w:abstractNumId w:val="23"/>
  </w:num>
  <w:num w:numId="20">
    <w:abstractNumId w:val="36"/>
  </w:num>
  <w:num w:numId="21">
    <w:abstractNumId w:val="35"/>
  </w:num>
  <w:num w:numId="22">
    <w:abstractNumId w:val="22"/>
  </w:num>
  <w:num w:numId="23">
    <w:abstractNumId w:val="31"/>
  </w:num>
  <w:num w:numId="24">
    <w:abstractNumId w:val="25"/>
  </w:num>
  <w:num w:numId="25">
    <w:abstractNumId w:val="29"/>
  </w:num>
  <w:num w:numId="26">
    <w:abstractNumId w:val="17"/>
  </w:num>
  <w:num w:numId="27">
    <w:abstractNumId w:val="42"/>
  </w:num>
  <w:num w:numId="28">
    <w:abstractNumId w:val="21"/>
  </w:num>
  <w:num w:numId="29">
    <w:abstractNumId w:val="19"/>
  </w:num>
  <w:num w:numId="30">
    <w:abstractNumId w:val="43"/>
  </w:num>
  <w:num w:numId="31">
    <w:abstractNumId w:val="8"/>
  </w:num>
  <w:num w:numId="32">
    <w:abstractNumId w:val="39"/>
  </w:num>
  <w:num w:numId="33">
    <w:abstractNumId w:val="18"/>
  </w:num>
  <w:num w:numId="34">
    <w:abstractNumId w:val="44"/>
  </w:num>
  <w:num w:numId="35">
    <w:abstractNumId w:val="4"/>
  </w:num>
  <w:num w:numId="36">
    <w:abstractNumId w:val="30"/>
  </w:num>
  <w:num w:numId="37">
    <w:abstractNumId w:val="15"/>
  </w:num>
  <w:num w:numId="38">
    <w:abstractNumId w:val="9"/>
  </w:num>
  <w:num w:numId="39">
    <w:abstractNumId w:val="6"/>
  </w:num>
  <w:num w:numId="40">
    <w:abstractNumId w:val="2"/>
  </w:num>
  <w:num w:numId="41">
    <w:abstractNumId w:val="33"/>
  </w:num>
  <w:num w:numId="42">
    <w:abstractNumId w:val="37"/>
  </w:num>
  <w:num w:numId="43">
    <w:abstractNumId w:val="13"/>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5"/>
    <w:rsid w:val="00214F94"/>
    <w:rsid w:val="00766F90"/>
    <w:rsid w:val="009152F5"/>
    <w:rsid w:val="00A167DC"/>
    <w:rsid w:val="00B44FB2"/>
    <w:rsid w:val="00C408C5"/>
    <w:rsid w:val="00D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FF500-D4CE-4E35-8E96-89EE1B51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B5"/>
  </w:style>
  <w:style w:type="paragraph" w:styleId="Heading3">
    <w:name w:val="heading 3"/>
    <w:basedOn w:val="Normal"/>
    <w:next w:val="Normal"/>
    <w:link w:val="Heading3Char"/>
    <w:semiHidden/>
    <w:unhideWhenUsed/>
    <w:qFormat/>
    <w:rsid w:val="00DC51B5"/>
    <w:pPr>
      <w:keepNext/>
      <w:spacing w:after="0" w:line="240" w:lineRule="auto"/>
      <w:jc w:val="center"/>
      <w:outlineLvl w:val="2"/>
    </w:pPr>
    <w:rPr>
      <w:rFonts w:ascii="Times New Roman" w:eastAsia="Times New Roman" w:hAnsi="Times New Roman" w:cs="Times New Roman"/>
      <w:sz w:val="24"/>
      <w:szCs w:val="20"/>
      <w:lang w:val="en-GB"/>
    </w:rPr>
  </w:style>
  <w:style w:type="paragraph" w:styleId="Heading6">
    <w:name w:val="heading 6"/>
    <w:basedOn w:val="Normal"/>
    <w:next w:val="Normal"/>
    <w:link w:val="Heading6Char"/>
    <w:semiHidden/>
    <w:unhideWhenUsed/>
    <w:qFormat/>
    <w:rsid w:val="00DC51B5"/>
    <w:pPr>
      <w:keepNext/>
      <w:spacing w:after="0" w:line="240" w:lineRule="auto"/>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C51B5"/>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semiHidden/>
    <w:rsid w:val="00DC51B5"/>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DC51B5"/>
    <w:pPr>
      <w:ind w:left="720"/>
      <w:contextualSpacing/>
    </w:pPr>
  </w:style>
  <w:style w:type="table" w:styleId="TableGrid">
    <w:name w:val="Table Grid"/>
    <w:basedOn w:val="TableNormal"/>
    <w:uiPriority w:val="39"/>
    <w:rsid w:val="00DC51B5"/>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C51B5"/>
    <w:pPr>
      <w:spacing w:after="0" w:line="240" w:lineRule="auto"/>
    </w:pPr>
    <w:rPr>
      <w:sz w:val="20"/>
      <w:szCs w:val="20"/>
    </w:rPr>
  </w:style>
  <w:style w:type="character" w:customStyle="1" w:styleId="FootnoteTextChar">
    <w:name w:val="Footnote Text Char"/>
    <w:basedOn w:val="DefaultParagraphFont"/>
    <w:link w:val="FootnoteText"/>
    <w:semiHidden/>
    <w:rsid w:val="00DC51B5"/>
    <w:rPr>
      <w:sz w:val="20"/>
      <w:szCs w:val="20"/>
    </w:rPr>
  </w:style>
  <w:style w:type="character" w:styleId="FootnoteReference">
    <w:name w:val="footnote reference"/>
    <w:basedOn w:val="DefaultParagraphFont"/>
    <w:semiHidden/>
    <w:unhideWhenUsed/>
    <w:rsid w:val="00DC51B5"/>
    <w:rPr>
      <w:vertAlign w:val="superscript"/>
    </w:rPr>
  </w:style>
  <w:style w:type="character" w:styleId="CommentReference">
    <w:name w:val="annotation reference"/>
    <w:basedOn w:val="DefaultParagraphFont"/>
    <w:uiPriority w:val="99"/>
    <w:semiHidden/>
    <w:unhideWhenUsed/>
    <w:rsid w:val="00DC51B5"/>
    <w:rPr>
      <w:sz w:val="16"/>
      <w:szCs w:val="16"/>
    </w:rPr>
  </w:style>
  <w:style w:type="paragraph" w:styleId="CommentText">
    <w:name w:val="annotation text"/>
    <w:basedOn w:val="Normal"/>
    <w:link w:val="CommentTextChar"/>
    <w:uiPriority w:val="99"/>
    <w:semiHidden/>
    <w:unhideWhenUsed/>
    <w:rsid w:val="00DC51B5"/>
    <w:pPr>
      <w:spacing w:line="240" w:lineRule="auto"/>
    </w:pPr>
    <w:rPr>
      <w:sz w:val="20"/>
      <w:szCs w:val="20"/>
    </w:rPr>
  </w:style>
  <w:style w:type="character" w:customStyle="1" w:styleId="CommentTextChar">
    <w:name w:val="Comment Text Char"/>
    <w:basedOn w:val="DefaultParagraphFont"/>
    <w:link w:val="CommentText"/>
    <w:uiPriority w:val="99"/>
    <w:semiHidden/>
    <w:rsid w:val="00DC51B5"/>
    <w:rPr>
      <w:sz w:val="20"/>
      <w:szCs w:val="20"/>
    </w:rPr>
  </w:style>
  <w:style w:type="paragraph" w:styleId="CommentSubject">
    <w:name w:val="annotation subject"/>
    <w:basedOn w:val="CommentText"/>
    <w:next w:val="CommentText"/>
    <w:link w:val="CommentSubjectChar"/>
    <w:uiPriority w:val="99"/>
    <w:semiHidden/>
    <w:unhideWhenUsed/>
    <w:rsid w:val="00DC51B5"/>
    <w:rPr>
      <w:b/>
      <w:bCs/>
    </w:rPr>
  </w:style>
  <w:style w:type="character" w:customStyle="1" w:styleId="CommentSubjectChar">
    <w:name w:val="Comment Subject Char"/>
    <w:basedOn w:val="CommentTextChar"/>
    <w:link w:val="CommentSubject"/>
    <w:uiPriority w:val="99"/>
    <w:semiHidden/>
    <w:rsid w:val="00DC51B5"/>
    <w:rPr>
      <w:b/>
      <w:bCs/>
      <w:sz w:val="20"/>
      <w:szCs w:val="20"/>
    </w:rPr>
  </w:style>
  <w:style w:type="paragraph" w:styleId="BalloonText">
    <w:name w:val="Balloon Text"/>
    <w:basedOn w:val="Normal"/>
    <w:link w:val="BalloonTextChar"/>
    <w:uiPriority w:val="99"/>
    <w:semiHidden/>
    <w:unhideWhenUsed/>
    <w:rsid w:val="00DC5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B5"/>
    <w:rPr>
      <w:rFonts w:ascii="Segoe UI" w:hAnsi="Segoe UI" w:cs="Segoe UI"/>
      <w:sz w:val="18"/>
      <w:szCs w:val="18"/>
    </w:rPr>
  </w:style>
  <w:style w:type="paragraph" w:customStyle="1" w:styleId="Normal1">
    <w:name w:val="Normal1"/>
    <w:basedOn w:val="Normal"/>
    <w:rsid w:val="00DC5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DC51B5"/>
    <w:pPr>
      <w:spacing w:after="0" w:line="240" w:lineRule="auto"/>
    </w:pPr>
    <w:rPr>
      <w:rFonts w:ascii="Consolas" w:eastAsia="Times New Roman" w:hAnsi="Consolas" w:cs="Times New Roman"/>
      <w:sz w:val="20"/>
      <w:szCs w:val="20"/>
      <w:lang w:val="en-GB"/>
    </w:rPr>
  </w:style>
  <w:style w:type="character" w:customStyle="1" w:styleId="HTMLPreformattedChar">
    <w:name w:val="HTML Preformatted Char"/>
    <w:basedOn w:val="DefaultParagraphFont"/>
    <w:link w:val="HTMLPreformatted"/>
    <w:rsid w:val="00DC51B5"/>
    <w:rPr>
      <w:rFonts w:ascii="Consolas" w:eastAsia="Times New Roman" w:hAnsi="Consolas" w:cs="Times New Roman"/>
      <w:sz w:val="20"/>
      <w:szCs w:val="20"/>
      <w:lang w:val="en-GB"/>
    </w:rPr>
  </w:style>
  <w:style w:type="paragraph" w:styleId="BodyText3">
    <w:name w:val="Body Text 3"/>
    <w:basedOn w:val="Normal"/>
    <w:link w:val="BodyText3Char"/>
    <w:unhideWhenUsed/>
    <w:rsid w:val="00DC51B5"/>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C51B5"/>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DC51B5"/>
    <w:pPr>
      <w:spacing w:after="120"/>
    </w:pPr>
  </w:style>
  <w:style w:type="character" w:customStyle="1" w:styleId="BodyTextChar">
    <w:name w:val="Body Text Char"/>
    <w:basedOn w:val="DefaultParagraphFont"/>
    <w:link w:val="BodyText"/>
    <w:uiPriority w:val="99"/>
    <w:rsid w:val="00DC51B5"/>
  </w:style>
  <w:style w:type="paragraph" w:styleId="BodyTextIndent2">
    <w:name w:val="Body Text Indent 2"/>
    <w:basedOn w:val="Normal"/>
    <w:link w:val="BodyTextIndent2Char"/>
    <w:uiPriority w:val="99"/>
    <w:semiHidden/>
    <w:unhideWhenUsed/>
    <w:rsid w:val="00DC51B5"/>
    <w:pPr>
      <w:spacing w:after="120" w:line="480" w:lineRule="auto"/>
      <w:ind w:left="360"/>
    </w:pPr>
  </w:style>
  <w:style w:type="character" w:customStyle="1" w:styleId="BodyTextIndent2Char">
    <w:name w:val="Body Text Indent 2 Char"/>
    <w:basedOn w:val="DefaultParagraphFont"/>
    <w:link w:val="BodyTextIndent2"/>
    <w:uiPriority w:val="99"/>
    <w:semiHidden/>
    <w:rsid w:val="00DC51B5"/>
  </w:style>
  <w:style w:type="paragraph" w:styleId="NoSpacing">
    <w:name w:val="No Spacing"/>
    <w:uiPriority w:val="1"/>
    <w:qFormat/>
    <w:rsid w:val="00DC51B5"/>
    <w:pPr>
      <w:spacing w:after="0" w:line="240" w:lineRule="auto"/>
    </w:pPr>
  </w:style>
  <w:style w:type="paragraph" w:styleId="EndnoteText">
    <w:name w:val="endnote text"/>
    <w:basedOn w:val="Normal"/>
    <w:link w:val="EndnoteTextChar"/>
    <w:uiPriority w:val="99"/>
    <w:semiHidden/>
    <w:unhideWhenUsed/>
    <w:rsid w:val="00DC5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B5"/>
    <w:rPr>
      <w:sz w:val="20"/>
      <w:szCs w:val="20"/>
    </w:rPr>
  </w:style>
  <w:style w:type="character" w:styleId="EndnoteReference">
    <w:name w:val="endnote reference"/>
    <w:basedOn w:val="DefaultParagraphFont"/>
    <w:uiPriority w:val="99"/>
    <w:semiHidden/>
    <w:unhideWhenUsed/>
    <w:rsid w:val="00DC5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CE2C-691D-4034-8722-CC37F4DB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7936</Words>
  <Characters>45240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S-Y-U</cp:lastModifiedBy>
  <cp:revision>2</cp:revision>
  <dcterms:created xsi:type="dcterms:W3CDTF">2021-04-08T14:11:00Z</dcterms:created>
  <dcterms:modified xsi:type="dcterms:W3CDTF">2021-04-08T14:11:00Z</dcterms:modified>
</cp:coreProperties>
</file>