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C56F" w14:textId="77777777" w:rsidR="00704B70" w:rsidRPr="007B25B0" w:rsidRDefault="00704B70" w:rsidP="0052594B">
      <w:pPr>
        <w:pStyle w:val="Heading1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u w:color="000000"/>
          <w:lang w:val="bs-Latn-BA" w:eastAsia="bs-Latn-BA"/>
        </w:rPr>
      </w:pPr>
      <w:r w:rsidRPr="007B25B0">
        <w:rPr>
          <w:rFonts w:ascii="Arial" w:hAnsi="Arial" w:cs="Arial"/>
          <w:color w:val="000000" w:themeColor="text1"/>
          <w:sz w:val="22"/>
          <w:szCs w:val="22"/>
          <w:u w:color="000000"/>
          <w:lang w:val="bs-Latn-BA" w:eastAsia="bs-Latn-BA"/>
        </w:rPr>
        <w:t>Na osnovu člana  83. stav (1) Zakona o zaštiti okoliša ("Službene novine Federacije BiH", broj: 15/21), Vlada Federacije Bosne i Hercegovine, na _____ sjednici održanoj _______2021. godine, donosi</w:t>
      </w:r>
    </w:p>
    <w:p w14:paraId="53AE23DE" w14:textId="77777777" w:rsidR="00704B70" w:rsidRPr="007B25B0" w:rsidRDefault="00704B70" w:rsidP="0052594B">
      <w:pPr>
        <w:tabs>
          <w:tab w:val="left" w:pos="720"/>
        </w:tabs>
        <w:spacing w:after="0" w:line="360" w:lineRule="auto"/>
        <w:jc w:val="center"/>
        <w:rPr>
          <w:rFonts w:ascii="Arial Black" w:hAnsi="Arial Black" w:cs="Arial"/>
          <w:b/>
          <w:noProof/>
          <w:color w:val="000000" w:themeColor="text1"/>
          <w:lang w:val="bs-Latn-BA"/>
        </w:rPr>
      </w:pPr>
    </w:p>
    <w:p w14:paraId="5AA2CEBE" w14:textId="77777777" w:rsidR="00704B70" w:rsidRPr="007B25B0" w:rsidRDefault="00704B70" w:rsidP="0052594B">
      <w:pPr>
        <w:tabs>
          <w:tab w:val="left" w:pos="720"/>
        </w:tabs>
        <w:spacing w:after="0" w:line="360" w:lineRule="auto"/>
        <w:jc w:val="center"/>
        <w:rPr>
          <w:rFonts w:ascii="Arial Black" w:hAnsi="Arial Black" w:cs="Arial"/>
          <w:b/>
          <w:noProof/>
          <w:color w:val="000000" w:themeColor="text1"/>
          <w:lang w:val="bs-Latn-BA"/>
        </w:rPr>
      </w:pPr>
      <w:r w:rsidRPr="007B25B0">
        <w:rPr>
          <w:rFonts w:ascii="Arial Black" w:hAnsi="Arial Black" w:cs="Arial"/>
          <w:b/>
          <w:noProof/>
          <w:color w:val="000000" w:themeColor="text1"/>
          <w:lang w:val="bs-Latn-BA"/>
        </w:rPr>
        <w:t>UREDBU O DOPUNI UREDBE</w:t>
      </w:r>
    </w:p>
    <w:p w14:paraId="32E239B9" w14:textId="77777777" w:rsidR="00704B70" w:rsidRPr="007B25B0" w:rsidRDefault="00704B70" w:rsidP="0052594B">
      <w:pPr>
        <w:tabs>
          <w:tab w:val="left" w:pos="720"/>
        </w:tabs>
        <w:spacing w:after="0" w:line="360" w:lineRule="auto"/>
        <w:jc w:val="center"/>
        <w:rPr>
          <w:rFonts w:ascii="Arial Black" w:hAnsi="Arial Black" w:cs="Arial"/>
          <w:b/>
          <w:noProof/>
          <w:color w:val="000000" w:themeColor="text1"/>
          <w:lang w:val="bs-Latn-BA"/>
        </w:rPr>
      </w:pPr>
      <w:r w:rsidRPr="007B25B0">
        <w:rPr>
          <w:rFonts w:ascii="Arial Black" w:hAnsi="Arial Black" w:cs="Arial"/>
          <w:b/>
          <w:noProof/>
          <w:color w:val="000000" w:themeColor="text1"/>
          <w:lang w:val="bs-Latn-BA"/>
        </w:rPr>
        <w:t>KOJOM SE UTVRĐUJU POGONI I POSTROJENJA KOJA MORAJU IMATI OKOLINSKU DOZVOLU</w:t>
      </w:r>
    </w:p>
    <w:p w14:paraId="2BCD3ADC" w14:textId="77777777" w:rsidR="00704B70" w:rsidRPr="007B25B0" w:rsidRDefault="00704B70" w:rsidP="0052594B">
      <w:pPr>
        <w:tabs>
          <w:tab w:val="left" w:pos="720"/>
        </w:tabs>
        <w:spacing w:after="0" w:line="360" w:lineRule="auto"/>
        <w:rPr>
          <w:rFonts w:ascii="Arial Black" w:hAnsi="Arial Black" w:cs="Arial"/>
          <w:b/>
          <w:noProof/>
          <w:color w:val="000000" w:themeColor="text1"/>
          <w:lang w:val="bs-Latn-BA"/>
        </w:rPr>
      </w:pPr>
    </w:p>
    <w:p w14:paraId="7B57DCCA" w14:textId="77777777" w:rsidR="00412B42" w:rsidRPr="007B25B0" w:rsidRDefault="00704B70" w:rsidP="007A4456">
      <w:pPr>
        <w:tabs>
          <w:tab w:val="left" w:pos="720"/>
        </w:tabs>
        <w:spacing w:after="0" w:line="360" w:lineRule="auto"/>
        <w:jc w:val="center"/>
        <w:rPr>
          <w:rFonts w:ascii="Arial Black" w:hAnsi="Arial Black" w:cs="Arial"/>
          <w:b/>
          <w:noProof/>
          <w:color w:val="000000" w:themeColor="text1"/>
          <w:lang w:val="bs-Latn-BA"/>
        </w:rPr>
      </w:pPr>
      <w:r w:rsidRPr="007B25B0">
        <w:rPr>
          <w:rFonts w:ascii="Arial Black" w:hAnsi="Arial Black" w:cs="Arial"/>
          <w:b/>
          <w:noProof/>
          <w:color w:val="000000" w:themeColor="text1"/>
          <w:lang w:val="bs-Latn-BA"/>
        </w:rPr>
        <w:t>Član 1.</w:t>
      </w:r>
    </w:p>
    <w:p w14:paraId="74BE2D89" w14:textId="54801F40" w:rsidR="00DE509D" w:rsidRPr="007B25B0" w:rsidRDefault="004727E6" w:rsidP="0052594B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bs-Latn-BA"/>
        </w:rPr>
      </w:pPr>
      <w:r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ab/>
      </w:r>
      <w:r w:rsidR="00704B70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U Uredbi </w:t>
      </w:r>
      <w:r w:rsidR="00704B70" w:rsidRPr="007B25B0">
        <w:rPr>
          <w:rFonts w:ascii="Arial" w:hAnsi="Arial" w:cs="Arial"/>
          <w:bCs/>
          <w:color w:val="000000" w:themeColor="text1"/>
          <w:lang w:val="bs-Latn-BA"/>
        </w:rPr>
        <w:t>kojom se utvrđuju pogoni i postrojenja koja moraju imati okolišnu dozvolu</w:t>
      </w:r>
      <w:r w:rsidR="00704B70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 ("Službene novine Federacije BiH", broj: 51/21)</w:t>
      </w:r>
      <w:r w:rsidR="00C40EEA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iza</w:t>
      </w:r>
      <w:r w:rsidR="002E5956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člana</w:t>
      </w:r>
      <w:r w:rsidR="00704B70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12. dodaj</w:t>
      </w:r>
      <w:r w:rsidR="00C40EEA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e</w:t>
      </w:r>
      <w:r w:rsidR="00704B70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se </w:t>
      </w:r>
      <w:r w:rsidR="00C40EEA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novi član </w:t>
      </w:r>
      <w:r w:rsidR="00DE509D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12a.</w:t>
      </w:r>
      <w:r w:rsidR="00042253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</w:t>
      </w:r>
      <w:r w:rsidR="00C40EEA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koji glasi</w:t>
      </w:r>
      <w:r w:rsidR="00704B70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:</w:t>
      </w:r>
    </w:p>
    <w:p w14:paraId="3EE5E039" w14:textId="77777777" w:rsidR="00DE509D" w:rsidRPr="007B25B0" w:rsidRDefault="00DE509D" w:rsidP="00DE509D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color w:val="000000" w:themeColor="text1"/>
          <w:shd w:val="clear" w:color="auto" w:fill="FFFFFF"/>
          <w:lang w:val="bs-Latn-BA"/>
        </w:rPr>
      </w:pPr>
    </w:p>
    <w:p w14:paraId="13D7C380" w14:textId="77777777" w:rsidR="005162A6" w:rsidRPr="007B25B0" w:rsidRDefault="00DE509D" w:rsidP="00DE509D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hd w:val="clear" w:color="auto" w:fill="FFFFFF"/>
          <w:lang w:val="bs-Latn-BA"/>
        </w:rPr>
      </w:pPr>
      <w:r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“</w:t>
      </w:r>
      <w:r w:rsidRPr="007B25B0">
        <w:rPr>
          <w:rFonts w:ascii="Arial" w:hAnsi="Arial" w:cs="Arial"/>
          <w:b/>
          <w:color w:val="000000" w:themeColor="text1"/>
          <w:shd w:val="clear" w:color="auto" w:fill="FFFFFF"/>
          <w:lang w:val="bs-Latn-BA"/>
        </w:rPr>
        <w:t>Član 12a.</w:t>
      </w:r>
    </w:p>
    <w:p w14:paraId="5773C257" w14:textId="77777777" w:rsidR="007A4456" w:rsidRPr="007B25B0" w:rsidRDefault="007A4456" w:rsidP="007A4456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7B25B0">
        <w:rPr>
          <w:rFonts w:ascii="Arial" w:hAnsi="Arial" w:cs="Arial"/>
          <w:b/>
          <w:noProof/>
          <w:color w:val="000000" w:themeColor="text1"/>
          <w:lang w:val="bs-Latn-BA"/>
        </w:rPr>
        <w:t>(Operateri pogona i postrojenja koja imaju neophodne dozvole i nisu u obavezi obnoviti okolišnu dozvolu)</w:t>
      </w:r>
    </w:p>
    <w:p w14:paraId="0EF37054" w14:textId="77777777" w:rsidR="007A4456" w:rsidRPr="007B25B0" w:rsidRDefault="007A4456" w:rsidP="00DE509D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hd w:val="clear" w:color="auto" w:fill="FFFFFF"/>
          <w:lang w:val="bs-Latn-BA"/>
        </w:rPr>
      </w:pPr>
    </w:p>
    <w:p w14:paraId="2C290F7F" w14:textId="76CA56B2" w:rsidR="005162A6" w:rsidRPr="007B25B0" w:rsidRDefault="005162A6" w:rsidP="005114ED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Nadležni organ koji rješava zahtjev operatera </w:t>
      </w:r>
      <w:r w:rsidR="00B42DD2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iz </w:t>
      </w:r>
      <w:r w:rsidR="001F19FF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stava</w:t>
      </w:r>
      <w:r w:rsidR="00B42DD2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(2) ovog člana </w:t>
      </w:r>
      <w:r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za izdavanje okolinske dozvole, </w:t>
      </w:r>
      <w:r w:rsidR="00780482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kada utvrdi da nije potrebn</w:t>
      </w:r>
      <w:r w:rsidR="0085540B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o obnoviti okolinsku dozvolu</w:t>
      </w:r>
      <w:r w:rsidR="00780482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, </w:t>
      </w:r>
      <w:r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dužan je u rješenju utvrditi opšte obaveze operatera iz člana 84. </w:t>
      </w:r>
      <w:r w:rsidR="000172AD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s</w:t>
      </w:r>
      <w:r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tav (1) Zakona o zaštiti okoliša</w:t>
      </w:r>
      <w:r w:rsidR="001F4EB0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,</w:t>
      </w:r>
      <w:r w:rsidR="000F5478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zavisno od vrste aktivnosti/djelatnosti koju obavlja</w:t>
      </w:r>
      <w:r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, koje će se sprovoditi u toku rada izgrađenog pogona i postrojenja</w:t>
      </w:r>
      <w:r w:rsidR="00D72A89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ili skladišta/objekta</w:t>
      </w:r>
      <w:r w:rsidR="005114ED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,</w:t>
      </w:r>
      <w:r w:rsidR="005114ED" w:rsidRPr="007B25B0">
        <w:rPr>
          <w:color w:val="000000" w:themeColor="text1"/>
          <w:lang w:val="bs-Latn-BA"/>
        </w:rPr>
        <w:t xml:space="preserve"> </w:t>
      </w:r>
      <w:r w:rsidR="005114ED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ako operater ispunjava sve</w:t>
      </w:r>
      <w:r w:rsidR="002E2CB0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uslove iz stava</w:t>
      </w:r>
      <w:r w:rsidR="005114ED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(2) ovog člana</w:t>
      </w:r>
      <w:r w:rsidR="00B449D2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.</w:t>
      </w:r>
    </w:p>
    <w:p w14:paraId="3E4451D4" w14:textId="1D08D3C4" w:rsidR="00C40EEA" w:rsidRPr="007B25B0" w:rsidRDefault="005162A6" w:rsidP="00D72A89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Odredbe </w:t>
      </w:r>
      <w:r w:rsidR="000172AD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stava</w:t>
      </w:r>
      <w:r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(1) ovog člana primjenjuju se na zahtjeve slj</w:t>
      </w:r>
      <w:r w:rsidR="000172AD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e</w:t>
      </w:r>
      <w:r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dećih operatera pogona i postrojenja</w:t>
      </w:r>
      <w:r w:rsidR="00D72A89"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 xml:space="preserve"> ili skladišta/objekata</w:t>
      </w:r>
      <w:r w:rsidRPr="007B25B0">
        <w:rPr>
          <w:rFonts w:ascii="Arial" w:hAnsi="Arial" w:cs="Arial"/>
          <w:color w:val="000000" w:themeColor="text1"/>
          <w:shd w:val="clear" w:color="auto" w:fill="FFFFFF"/>
          <w:lang w:val="bs-Latn-BA"/>
        </w:rPr>
        <w:t>:</w:t>
      </w:r>
    </w:p>
    <w:p w14:paraId="5E0411EC" w14:textId="77777777" w:rsidR="0097531F" w:rsidRPr="007B25B0" w:rsidRDefault="00704B70" w:rsidP="0052594B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lang w:val="bs-Latn-BA"/>
        </w:rPr>
      </w:pPr>
      <w:r w:rsidRPr="007B25B0">
        <w:rPr>
          <w:rFonts w:ascii="Arial" w:hAnsi="Arial" w:cs="Arial"/>
          <w:bCs/>
          <w:color w:val="000000" w:themeColor="text1"/>
          <w:lang w:val="bs-Latn-BA"/>
        </w:rPr>
        <w:t>koji</w:t>
      </w:r>
      <w:r w:rsidR="007453BB" w:rsidRPr="007B25B0">
        <w:rPr>
          <w:rFonts w:ascii="Arial" w:hAnsi="Arial" w:cs="Arial"/>
          <w:bCs/>
          <w:color w:val="000000" w:themeColor="text1"/>
          <w:lang w:val="bs-Latn-BA"/>
        </w:rPr>
        <w:t xml:space="preserve">ma je izdata okolišna </w:t>
      </w:r>
      <w:r w:rsidR="008E78C2" w:rsidRPr="007B25B0">
        <w:rPr>
          <w:rFonts w:ascii="Arial" w:hAnsi="Arial" w:cs="Arial"/>
          <w:bCs/>
          <w:color w:val="000000" w:themeColor="text1"/>
          <w:lang w:val="bs-Latn-BA"/>
        </w:rPr>
        <w:t xml:space="preserve">dozvola </w:t>
      </w:r>
      <w:r w:rsidR="005162A6" w:rsidRPr="007B25B0">
        <w:rPr>
          <w:rFonts w:ascii="Arial" w:hAnsi="Arial" w:cs="Arial"/>
          <w:bCs/>
          <w:color w:val="000000" w:themeColor="text1"/>
          <w:lang w:val="bs-Latn-BA"/>
        </w:rPr>
        <w:t>prije stupanja na snagu Zakona</w:t>
      </w:r>
      <w:r w:rsidR="002F511B" w:rsidRPr="007B25B0">
        <w:rPr>
          <w:rFonts w:ascii="Arial" w:hAnsi="Arial" w:cs="Arial"/>
          <w:bCs/>
          <w:color w:val="000000" w:themeColor="text1"/>
          <w:lang w:val="bs-Latn-BA"/>
        </w:rPr>
        <w:t xml:space="preserve"> o zaštiti okoliša</w:t>
      </w:r>
      <w:r w:rsidR="005162A6" w:rsidRPr="007B25B0">
        <w:rPr>
          <w:rFonts w:ascii="Arial" w:hAnsi="Arial" w:cs="Arial"/>
          <w:bCs/>
          <w:color w:val="000000" w:themeColor="text1"/>
          <w:lang w:val="bs-Latn-BA"/>
        </w:rPr>
        <w:t>;</w:t>
      </w:r>
      <w:r w:rsidR="007453BB" w:rsidRPr="007B25B0">
        <w:rPr>
          <w:rFonts w:ascii="Arial" w:hAnsi="Arial" w:cs="Arial"/>
          <w:bCs/>
          <w:color w:val="000000" w:themeColor="text1"/>
          <w:lang w:val="bs-Latn-BA"/>
        </w:rPr>
        <w:t xml:space="preserve"> </w:t>
      </w:r>
    </w:p>
    <w:p w14:paraId="5D3077C1" w14:textId="1A798392" w:rsidR="0097531F" w:rsidRPr="007B25B0" w:rsidRDefault="0097531F" w:rsidP="0052594B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lang w:val="bs-Latn-BA"/>
        </w:rPr>
      </w:pPr>
      <w:r w:rsidRPr="007B25B0">
        <w:rPr>
          <w:rFonts w:ascii="Arial" w:hAnsi="Arial" w:cs="Arial"/>
          <w:bCs/>
          <w:color w:val="000000" w:themeColor="text1"/>
          <w:lang w:val="bs-Latn-BA"/>
        </w:rPr>
        <w:t>koji imaju pribavljenu pravomoćnu građevinsku, upotrebnu ili dozvolu za eksploataciju (ukoliko se radi o ekstraktivnoj i</w:t>
      </w:r>
      <w:r w:rsidR="0040757A" w:rsidRPr="007B25B0">
        <w:rPr>
          <w:rFonts w:ascii="Arial" w:hAnsi="Arial" w:cs="Arial"/>
          <w:bCs/>
          <w:color w:val="000000" w:themeColor="text1"/>
          <w:lang w:val="bs-Latn-BA"/>
        </w:rPr>
        <w:t>n</w:t>
      </w:r>
      <w:r w:rsidRPr="007B25B0">
        <w:rPr>
          <w:rFonts w:ascii="Arial" w:hAnsi="Arial" w:cs="Arial"/>
          <w:bCs/>
          <w:color w:val="000000" w:themeColor="text1"/>
          <w:lang w:val="bs-Latn-BA"/>
        </w:rPr>
        <w:t xml:space="preserve">dustriji) </w:t>
      </w:r>
      <w:r w:rsidR="002711D2" w:rsidRPr="007B25B0">
        <w:rPr>
          <w:rFonts w:ascii="Arial" w:hAnsi="Arial" w:cs="Arial"/>
          <w:bCs/>
          <w:color w:val="000000" w:themeColor="text1"/>
          <w:lang w:val="bs-Latn-BA"/>
        </w:rPr>
        <w:t>i</w:t>
      </w:r>
      <w:r w:rsidR="005162A6" w:rsidRPr="007B25B0">
        <w:rPr>
          <w:rFonts w:ascii="Arial" w:hAnsi="Arial" w:cs="Arial"/>
          <w:bCs/>
          <w:color w:val="000000" w:themeColor="text1"/>
          <w:lang w:val="bs-Latn-BA"/>
        </w:rPr>
        <w:t xml:space="preserve"> pravomoćan vodni akt;</w:t>
      </w:r>
    </w:p>
    <w:p w14:paraId="276F0BF8" w14:textId="51CDDE2A" w:rsidR="002711D2" w:rsidRPr="007B25B0" w:rsidRDefault="0097531F" w:rsidP="0052594B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lang w:val="bs-Latn-BA"/>
        </w:rPr>
      </w:pPr>
      <w:r w:rsidRPr="007B25B0">
        <w:rPr>
          <w:rFonts w:ascii="Arial" w:hAnsi="Arial" w:cs="Arial"/>
          <w:bCs/>
          <w:color w:val="000000" w:themeColor="text1"/>
          <w:lang w:val="bs-Latn-BA"/>
        </w:rPr>
        <w:t>ukoliko nisu imali promjena u radu</w:t>
      </w:r>
      <w:r w:rsidR="00D976E4" w:rsidRPr="007B25B0">
        <w:rPr>
          <w:rFonts w:ascii="Arial" w:hAnsi="Arial" w:cs="Arial"/>
          <w:bCs/>
          <w:color w:val="000000" w:themeColor="text1"/>
          <w:lang w:val="bs-Latn-BA"/>
        </w:rPr>
        <w:t>,</w:t>
      </w:r>
      <w:r w:rsidRPr="007B25B0">
        <w:rPr>
          <w:rFonts w:ascii="Arial" w:hAnsi="Arial" w:cs="Arial"/>
          <w:bCs/>
          <w:color w:val="000000" w:themeColor="text1"/>
          <w:lang w:val="bs-Latn-BA"/>
        </w:rPr>
        <w:t xml:space="preserve"> u povećanju kapaciteta proizvodnje, povećanje korištenja prostora (površine za eksploataciju), upotrebe vode, energije,</w:t>
      </w:r>
      <w:r w:rsidR="0053276B" w:rsidRPr="007B25B0">
        <w:rPr>
          <w:rFonts w:ascii="Arial" w:hAnsi="Arial" w:cs="Arial"/>
          <w:bCs/>
          <w:color w:val="000000" w:themeColor="text1"/>
          <w:lang w:val="bs-Latn-BA"/>
        </w:rPr>
        <w:t xml:space="preserve"> povećanje emisij</w:t>
      </w:r>
      <w:r w:rsidR="00286BF1" w:rsidRPr="007B25B0">
        <w:rPr>
          <w:rFonts w:ascii="Arial" w:hAnsi="Arial" w:cs="Arial"/>
          <w:bCs/>
          <w:color w:val="000000" w:themeColor="text1"/>
          <w:lang w:val="bs-Latn-BA"/>
        </w:rPr>
        <w:t>a</w:t>
      </w:r>
      <w:r w:rsidR="0053276B" w:rsidRPr="007B25B0">
        <w:rPr>
          <w:rFonts w:ascii="Arial" w:hAnsi="Arial" w:cs="Arial"/>
          <w:bCs/>
          <w:color w:val="000000" w:themeColor="text1"/>
          <w:lang w:val="bs-Latn-BA"/>
        </w:rPr>
        <w:t>, produkovanja otpada,</w:t>
      </w:r>
      <w:r w:rsidRPr="007B25B0">
        <w:rPr>
          <w:rFonts w:ascii="Arial" w:hAnsi="Arial" w:cs="Arial"/>
          <w:bCs/>
          <w:color w:val="000000" w:themeColor="text1"/>
          <w:lang w:val="bs-Latn-BA"/>
        </w:rPr>
        <w:t xml:space="preserve"> skladištenju opasnih supstanci i drugih promjena koje </w:t>
      </w:r>
      <w:r w:rsidR="0053276B" w:rsidRPr="007B25B0">
        <w:rPr>
          <w:rFonts w:ascii="Arial" w:hAnsi="Arial" w:cs="Arial"/>
          <w:bCs/>
          <w:color w:val="000000" w:themeColor="text1"/>
          <w:lang w:val="bs-Latn-BA"/>
        </w:rPr>
        <w:t xml:space="preserve">dodatno </w:t>
      </w:r>
      <w:r w:rsidR="002711D2" w:rsidRPr="007B25B0">
        <w:rPr>
          <w:rFonts w:ascii="Arial" w:hAnsi="Arial" w:cs="Arial"/>
          <w:bCs/>
          <w:color w:val="000000" w:themeColor="text1"/>
          <w:lang w:val="bs-Latn-BA"/>
        </w:rPr>
        <w:t>negativno utiču na okoliš, odnosno da su ovi podaci istovjetni podacima u izdatim d</w:t>
      </w:r>
      <w:r w:rsidR="005742C4" w:rsidRPr="007B25B0">
        <w:rPr>
          <w:rFonts w:ascii="Arial" w:hAnsi="Arial" w:cs="Arial"/>
          <w:bCs/>
          <w:color w:val="000000" w:themeColor="text1"/>
          <w:lang w:val="bs-Latn-BA"/>
        </w:rPr>
        <w:t xml:space="preserve">ozvolama iz tačke b) ovog </w:t>
      </w:r>
      <w:r w:rsidR="00286BF1" w:rsidRPr="007B25B0">
        <w:rPr>
          <w:rFonts w:ascii="Arial" w:hAnsi="Arial" w:cs="Arial"/>
          <w:bCs/>
          <w:color w:val="000000" w:themeColor="text1"/>
          <w:lang w:val="bs-Latn-BA"/>
        </w:rPr>
        <w:t>stava</w:t>
      </w:r>
      <w:r w:rsidR="005742C4" w:rsidRPr="007B25B0">
        <w:rPr>
          <w:rFonts w:ascii="Arial" w:hAnsi="Arial" w:cs="Arial"/>
          <w:bCs/>
          <w:color w:val="000000" w:themeColor="text1"/>
          <w:lang w:val="bs-Latn-BA"/>
        </w:rPr>
        <w:t>;</w:t>
      </w:r>
    </w:p>
    <w:p w14:paraId="0C2B3E62" w14:textId="4511EA43" w:rsidR="008E78C2" w:rsidRPr="007B25B0" w:rsidRDefault="0097531F" w:rsidP="001F0299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lang w:val="bs-Latn-BA"/>
        </w:rPr>
      </w:pPr>
      <w:r w:rsidRPr="007B25B0">
        <w:rPr>
          <w:rFonts w:ascii="Arial" w:hAnsi="Arial" w:cs="Arial"/>
          <w:bCs/>
          <w:color w:val="000000" w:themeColor="text1"/>
          <w:lang w:val="bs-Latn-BA"/>
        </w:rPr>
        <w:lastRenderedPageBreak/>
        <w:t>kojima</w:t>
      </w:r>
      <w:r w:rsidR="005742C4" w:rsidRPr="007B25B0">
        <w:rPr>
          <w:rFonts w:ascii="Arial" w:hAnsi="Arial" w:cs="Arial"/>
          <w:bCs/>
          <w:color w:val="000000" w:themeColor="text1"/>
          <w:lang w:val="bs-Latn-BA"/>
        </w:rPr>
        <w:t xml:space="preserve"> </w:t>
      </w:r>
      <w:r w:rsidR="007453BB" w:rsidRPr="007B25B0">
        <w:rPr>
          <w:rFonts w:ascii="Arial" w:hAnsi="Arial" w:cs="Arial"/>
          <w:bCs/>
          <w:color w:val="000000" w:themeColor="text1"/>
          <w:lang w:val="bs-Latn-BA"/>
        </w:rPr>
        <w:t>u skladu sa ovo</w:t>
      </w:r>
      <w:r w:rsidR="0032663B" w:rsidRPr="007B25B0">
        <w:rPr>
          <w:rFonts w:ascii="Arial" w:hAnsi="Arial" w:cs="Arial"/>
          <w:bCs/>
          <w:color w:val="000000" w:themeColor="text1"/>
          <w:lang w:val="bs-Latn-BA"/>
        </w:rPr>
        <w:t>m u</w:t>
      </w:r>
      <w:r w:rsidR="00C40EEA" w:rsidRPr="007B25B0">
        <w:rPr>
          <w:rFonts w:ascii="Arial" w:hAnsi="Arial" w:cs="Arial"/>
          <w:bCs/>
          <w:color w:val="000000" w:themeColor="text1"/>
          <w:lang w:val="bs-Latn-BA"/>
        </w:rPr>
        <w:t>redbom</w:t>
      </w:r>
      <w:r w:rsidR="00704B70" w:rsidRPr="007B25B0">
        <w:rPr>
          <w:rFonts w:ascii="Arial" w:hAnsi="Arial" w:cs="Arial"/>
          <w:bCs/>
          <w:color w:val="000000" w:themeColor="text1"/>
          <w:lang w:val="bs-Latn-BA"/>
        </w:rPr>
        <w:t xml:space="preserve"> </w:t>
      </w:r>
      <w:r w:rsidR="007453BB" w:rsidRPr="007B25B0">
        <w:rPr>
          <w:rFonts w:ascii="Arial" w:hAnsi="Arial" w:cs="Arial"/>
          <w:bCs/>
          <w:color w:val="000000" w:themeColor="text1"/>
          <w:lang w:val="bs-Latn-BA"/>
        </w:rPr>
        <w:t>nije potrebno obnoviti okolišnu dozvolu</w:t>
      </w:r>
      <w:r w:rsidR="005162A6" w:rsidRPr="007B25B0">
        <w:rPr>
          <w:rFonts w:ascii="Arial" w:hAnsi="Arial" w:cs="Arial"/>
          <w:bCs/>
          <w:color w:val="000000" w:themeColor="text1"/>
          <w:lang w:val="bs-Latn-BA"/>
        </w:rPr>
        <w:t>.</w:t>
      </w:r>
    </w:p>
    <w:p w14:paraId="0A4030D5" w14:textId="43579E0A" w:rsidR="002168FF" w:rsidRPr="007B25B0" w:rsidRDefault="00CE4D2C" w:rsidP="001212BF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lang w:val="bs-Latn-BA"/>
        </w:rPr>
      </w:pPr>
      <w:r w:rsidRPr="007B25B0">
        <w:rPr>
          <w:rFonts w:ascii="Arial" w:hAnsi="Arial" w:cs="Arial"/>
          <w:bCs/>
          <w:color w:val="000000" w:themeColor="text1"/>
          <w:lang w:val="bs-Latn-BA"/>
        </w:rPr>
        <w:t xml:space="preserve">Zavisno od vrste aktivnosti/djelatnosti koju obavlja, </w:t>
      </w:r>
      <w:r w:rsidR="00417BC9" w:rsidRPr="007B25B0">
        <w:rPr>
          <w:rFonts w:ascii="Arial" w:hAnsi="Arial" w:cs="Arial"/>
          <w:bCs/>
          <w:color w:val="000000" w:themeColor="text1"/>
          <w:lang w:val="bs-Latn-BA"/>
        </w:rPr>
        <w:t xml:space="preserve">operater je dužan da u </w:t>
      </w:r>
      <w:r w:rsidRPr="007B25B0">
        <w:rPr>
          <w:rFonts w:ascii="Arial" w:hAnsi="Arial" w:cs="Arial"/>
          <w:bCs/>
          <w:color w:val="000000" w:themeColor="text1"/>
          <w:lang w:val="bs-Latn-BA"/>
        </w:rPr>
        <w:t>z</w:t>
      </w:r>
      <w:r w:rsidR="002168FF" w:rsidRPr="007B25B0">
        <w:rPr>
          <w:rFonts w:ascii="Arial" w:hAnsi="Arial" w:cs="Arial"/>
          <w:bCs/>
          <w:color w:val="000000" w:themeColor="text1"/>
          <w:lang w:val="bs-Latn-BA"/>
        </w:rPr>
        <w:t>ahtjev</w:t>
      </w:r>
      <w:r w:rsidR="00417BC9" w:rsidRPr="007B25B0">
        <w:rPr>
          <w:rFonts w:ascii="Arial" w:hAnsi="Arial" w:cs="Arial"/>
          <w:bCs/>
          <w:color w:val="000000" w:themeColor="text1"/>
          <w:lang w:val="bs-Latn-BA"/>
        </w:rPr>
        <w:t>u</w:t>
      </w:r>
      <w:r w:rsidR="002168FF" w:rsidRPr="007B25B0">
        <w:rPr>
          <w:rFonts w:ascii="Arial" w:hAnsi="Arial" w:cs="Arial"/>
          <w:bCs/>
          <w:color w:val="000000" w:themeColor="text1"/>
          <w:lang w:val="bs-Latn-BA"/>
        </w:rPr>
        <w:t xml:space="preserve"> </w:t>
      </w:r>
      <w:r w:rsidR="001F0299" w:rsidRPr="007B25B0">
        <w:rPr>
          <w:rFonts w:ascii="Arial" w:hAnsi="Arial" w:cs="Arial"/>
          <w:bCs/>
          <w:color w:val="000000" w:themeColor="text1"/>
          <w:lang w:val="bs-Latn-BA"/>
        </w:rPr>
        <w:t>iz stava</w:t>
      </w:r>
      <w:r w:rsidR="003B1836" w:rsidRPr="007B25B0">
        <w:rPr>
          <w:rFonts w:ascii="Arial" w:hAnsi="Arial" w:cs="Arial"/>
          <w:bCs/>
          <w:color w:val="000000" w:themeColor="text1"/>
          <w:lang w:val="bs-Latn-BA"/>
        </w:rPr>
        <w:t xml:space="preserve"> (1) ovog člana, osim dokaza</w:t>
      </w:r>
      <w:r w:rsidR="00730CEF" w:rsidRPr="007B25B0">
        <w:rPr>
          <w:rFonts w:ascii="Arial" w:hAnsi="Arial" w:cs="Arial"/>
          <w:bCs/>
          <w:color w:val="000000" w:themeColor="text1"/>
          <w:lang w:val="bs-Latn-BA"/>
        </w:rPr>
        <w:t xml:space="preserve"> iz stava (2) </w:t>
      </w:r>
      <w:r w:rsidR="00A7057B" w:rsidRPr="007B25B0">
        <w:rPr>
          <w:rFonts w:ascii="Arial" w:hAnsi="Arial" w:cs="Arial"/>
          <w:bCs/>
          <w:color w:val="000000" w:themeColor="text1"/>
          <w:lang w:val="bs-Latn-BA"/>
        </w:rPr>
        <w:t xml:space="preserve">tačka (b) </w:t>
      </w:r>
      <w:r w:rsidR="00730CEF" w:rsidRPr="007B25B0">
        <w:rPr>
          <w:rFonts w:ascii="Arial" w:hAnsi="Arial" w:cs="Arial"/>
          <w:bCs/>
          <w:color w:val="000000" w:themeColor="text1"/>
          <w:lang w:val="bs-Latn-BA"/>
        </w:rPr>
        <w:t>ovog člana</w:t>
      </w:r>
      <w:r w:rsidR="00882C3E" w:rsidRPr="007B25B0">
        <w:rPr>
          <w:rFonts w:ascii="Arial" w:hAnsi="Arial" w:cs="Arial"/>
          <w:bCs/>
          <w:color w:val="000000" w:themeColor="text1"/>
          <w:lang w:val="bs-Latn-BA"/>
        </w:rPr>
        <w:t>,</w:t>
      </w:r>
      <w:r w:rsidR="00730CEF" w:rsidRPr="007B25B0">
        <w:rPr>
          <w:rFonts w:ascii="Arial" w:hAnsi="Arial" w:cs="Arial"/>
          <w:bCs/>
          <w:color w:val="000000" w:themeColor="text1"/>
          <w:lang w:val="bs-Latn-BA"/>
        </w:rPr>
        <w:t xml:space="preserve"> </w:t>
      </w:r>
      <w:r w:rsidR="00417BC9" w:rsidRPr="007B25B0">
        <w:rPr>
          <w:rFonts w:ascii="Arial" w:hAnsi="Arial" w:cs="Arial"/>
          <w:bCs/>
          <w:color w:val="000000" w:themeColor="text1"/>
          <w:lang w:val="bs-Latn-BA"/>
        </w:rPr>
        <w:t xml:space="preserve">navede i </w:t>
      </w:r>
      <w:r w:rsidR="00BA6991" w:rsidRPr="007B25B0">
        <w:rPr>
          <w:rFonts w:ascii="Arial" w:hAnsi="Arial" w:cs="Arial"/>
          <w:bCs/>
          <w:color w:val="000000" w:themeColor="text1"/>
          <w:lang w:val="bs-Latn-BA"/>
        </w:rPr>
        <w:t>sljedeće</w:t>
      </w:r>
      <w:r w:rsidR="00417BC9" w:rsidRPr="007B25B0">
        <w:rPr>
          <w:rFonts w:ascii="Arial" w:hAnsi="Arial" w:cs="Arial"/>
          <w:bCs/>
          <w:color w:val="000000" w:themeColor="text1"/>
          <w:lang w:val="bs-Latn-BA"/>
        </w:rPr>
        <w:t xml:space="preserve"> podatke</w:t>
      </w:r>
      <w:r w:rsidR="003B1836" w:rsidRPr="007B25B0">
        <w:rPr>
          <w:rFonts w:ascii="Arial" w:hAnsi="Arial" w:cs="Arial"/>
          <w:bCs/>
          <w:color w:val="000000" w:themeColor="text1"/>
          <w:lang w:val="bs-Latn-BA"/>
        </w:rPr>
        <w:t>:</w:t>
      </w:r>
    </w:p>
    <w:p w14:paraId="266F3BA6" w14:textId="0FA35D35" w:rsidR="00A7057B" w:rsidRPr="007B25B0" w:rsidRDefault="00A7057B" w:rsidP="00D72A89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lang w:val="bs-Latn-BA"/>
        </w:rPr>
      </w:pPr>
      <w:bookmarkStart w:id="0" w:name="_Toc273789099"/>
      <w:bookmarkStart w:id="1" w:name="_Toc275783753"/>
      <w:bookmarkStart w:id="2" w:name="_Toc283127296"/>
      <w:r w:rsidRPr="007B25B0">
        <w:rPr>
          <w:rFonts w:ascii="Arial" w:hAnsi="Arial" w:cs="Arial"/>
          <w:noProof/>
          <w:color w:val="000000" w:themeColor="text1"/>
          <w:lang w:val="bs-Latn-BA"/>
        </w:rPr>
        <w:t xml:space="preserve">podatke o </w:t>
      </w:r>
      <w:bookmarkEnd w:id="0"/>
      <w:bookmarkEnd w:id="1"/>
      <w:bookmarkEnd w:id="2"/>
      <w:r w:rsidRPr="007B25B0">
        <w:rPr>
          <w:rFonts w:ascii="Arial" w:hAnsi="Arial" w:cs="Arial"/>
          <w:noProof/>
          <w:color w:val="000000" w:themeColor="text1"/>
          <w:lang w:val="bs-Latn-BA"/>
        </w:rPr>
        <w:t>objektu/pogonu/postrojenju (puni naziv pogona/postrojenja</w:t>
      </w:r>
      <w:r w:rsidRPr="007B25B0">
        <w:rPr>
          <w:color w:val="000000" w:themeColor="text1"/>
          <w:lang w:val="bs-Latn-BA"/>
        </w:rPr>
        <w:t xml:space="preserve">, 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>adresu na kojoj je lociran pogon i postrojenje</w:t>
      </w:r>
      <w:r w:rsidR="00D72A89" w:rsidRPr="007B25B0">
        <w:rPr>
          <w:rFonts w:ascii="Arial" w:hAnsi="Arial" w:cs="Arial"/>
          <w:noProof/>
          <w:color w:val="000000" w:themeColor="text1"/>
          <w:lang w:val="bs-Latn-BA"/>
        </w:rPr>
        <w:t>, skladište/objekata</w:t>
      </w:r>
      <w:r w:rsidRPr="007B25B0">
        <w:rPr>
          <w:color w:val="000000" w:themeColor="text1"/>
          <w:lang w:val="bs-Latn-BA"/>
        </w:rPr>
        <w:t xml:space="preserve">, 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>kategoriju/vrstu industrijskih aktivnosti koje su predmet zahtjeva, projektovani kapacitet glavne jedinice i ostalih jedini</w:t>
      </w:r>
      <w:r w:rsidR="00D72A89" w:rsidRPr="007B25B0">
        <w:rPr>
          <w:rFonts w:ascii="Arial" w:hAnsi="Arial" w:cs="Arial"/>
          <w:noProof/>
          <w:color w:val="000000" w:themeColor="text1"/>
          <w:lang w:val="bs-Latn-BA"/>
        </w:rPr>
        <w:t>ca postrojenja, broj zaposlenih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 xml:space="preserve"> u </w:t>
      </w:r>
      <w:r w:rsidR="00D72A89" w:rsidRPr="007B25B0">
        <w:rPr>
          <w:rFonts w:ascii="Arial" w:hAnsi="Arial" w:cs="Arial"/>
          <w:noProof/>
          <w:color w:val="000000" w:themeColor="text1"/>
          <w:lang w:val="bs-Latn-BA"/>
        </w:rPr>
        <w:t xml:space="preserve">pogonu i 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>postroj</w:t>
      </w:r>
      <w:r w:rsidR="00DE6853" w:rsidRPr="007B25B0">
        <w:rPr>
          <w:rFonts w:ascii="Arial" w:hAnsi="Arial" w:cs="Arial"/>
          <w:noProof/>
          <w:color w:val="000000" w:themeColor="text1"/>
          <w:lang w:val="bs-Latn-BA"/>
        </w:rPr>
        <w:t xml:space="preserve">enju </w:t>
      </w:r>
      <w:r w:rsidR="00D72A89" w:rsidRPr="007B25B0">
        <w:rPr>
          <w:rFonts w:ascii="Arial" w:hAnsi="Arial" w:cs="Arial"/>
          <w:noProof/>
          <w:color w:val="000000" w:themeColor="text1"/>
          <w:lang w:val="bs-Latn-BA"/>
        </w:rPr>
        <w:t xml:space="preserve">ili skladištu/objektu </w:t>
      </w:r>
      <w:r w:rsidR="00DE6853" w:rsidRPr="007B25B0">
        <w:rPr>
          <w:rFonts w:ascii="Arial" w:hAnsi="Arial" w:cs="Arial"/>
          <w:noProof/>
          <w:color w:val="000000" w:themeColor="text1"/>
          <w:lang w:val="bs-Latn-BA"/>
        </w:rPr>
        <w:t>za koje se podnosi zahtjev;</w:t>
      </w:r>
    </w:p>
    <w:p w14:paraId="14501EE2" w14:textId="232501DF" w:rsidR="00A7057B" w:rsidRPr="007B25B0" w:rsidRDefault="00A7057B" w:rsidP="001212BF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lang w:val="bs-Latn-BA"/>
        </w:rPr>
      </w:pPr>
      <w:bookmarkStart w:id="3" w:name="_Toc70220984"/>
      <w:bookmarkStart w:id="4" w:name="_Toc71686741"/>
      <w:bookmarkStart w:id="5" w:name="_Toc117779396"/>
      <w:bookmarkStart w:id="6" w:name="_Toc117829440"/>
      <w:bookmarkStart w:id="7" w:name="_Toc117906702"/>
      <w:bookmarkStart w:id="8" w:name="_Toc117907160"/>
      <w:bookmarkStart w:id="9" w:name="_Toc121038909"/>
      <w:bookmarkStart w:id="10" w:name="_Toc121114145"/>
      <w:bookmarkStart w:id="11" w:name="_Toc273789104"/>
      <w:bookmarkStart w:id="12" w:name="_Toc275783756"/>
      <w:bookmarkStart w:id="13" w:name="_Toc283127300"/>
      <w:r w:rsidRPr="007B25B0">
        <w:rPr>
          <w:rFonts w:ascii="Arial" w:hAnsi="Arial" w:cs="Arial"/>
          <w:noProof/>
          <w:color w:val="000000" w:themeColor="text1"/>
          <w:lang w:val="bs-Latn-BA"/>
        </w:rPr>
        <w:t>popis osnovnih sirovina i pomoćnih/sekundarnih sirovina i supstanci (naziv sirovine i količine koje se upotrijebe na godišnjem nivou), za skladišta</w:t>
      </w:r>
      <w:r w:rsidR="00DE6853" w:rsidRPr="007B25B0">
        <w:rPr>
          <w:rFonts w:ascii="Arial" w:hAnsi="Arial" w:cs="Arial"/>
          <w:noProof/>
          <w:color w:val="000000" w:themeColor="text1"/>
          <w:lang w:val="bs-Latn-BA"/>
        </w:rPr>
        <w:t xml:space="preserve"> -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 xml:space="preserve"> vrstu skladišnog mat</w:t>
      </w:r>
      <w:r w:rsidR="00DE6853" w:rsidRPr="007B25B0">
        <w:rPr>
          <w:rFonts w:ascii="Arial" w:hAnsi="Arial" w:cs="Arial"/>
          <w:noProof/>
          <w:color w:val="000000" w:themeColor="text1"/>
          <w:lang w:val="bs-Latn-BA"/>
        </w:rPr>
        <w:t>e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>rij</w:t>
      </w:r>
      <w:r w:rsidR="00DE6853" w:rsidRPr="007B25B0">
        <w:rPr>
          <w:rFonts w:ascii="Arial" w:hAnsi="Arial" w:cs="Arial"/>
          <w:noProof/>
          <w:color w:val="000000" w:themeColor="text1"/>
          <w:lang w:val="bs-Latn-BA"/>
        </w:rPr>
        <w:t>ala i skladišne kapacitete;</w:t>
      </w:r>
    </w:p>
    <w:p w14:paraId="60BD73D4" w14:textId="39B8DC83" w:rsidR="00A7057B" w:rsidRPr="007B25B0" w:rsidRDefault="00A7057B" w:rsidP="001212BF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lang w:val="bs-Latn-BA"/>
        </w:rPr>
      </w:pPr>
      <w:r w:rsidRPr="007B25B0">
        <w:rPr>
          <w:rFonts w:ascii="Arial" w:hAnsi="Arial" w:cs="Arial"/>
          <w:noProof/>
          <w:color w:val="000000" w:themeColor="text1"/>
          <w:lang w:val="bs-Latn-BA"/>
        </w:rPr>
        <w:t>ukoliko se radi o postrojenju koje proizvodi energiju, podatke o resursu/resursima i ukupnu potrošnju na godišnjem nivou</w:t>
      </w:r>
      <w:r w:rsidR="005704A7" w:rsidRPr="007B25B0">
        <w:rPr>
          <w:rFonts w:ascii="Arial" w:hAnsi="Arial" w:cs="Arial"/>
          <w:noProof/>
          <w:color w:val="000000" w:themeColor="text1"/>
          <w:lang w:val="bs-Latn-BA"/>
        </w:rPr>
        <w:t xml:space="preserve"> za svaki resurs koji koristi po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>jedinačno, ukup</w:t>
      </w:r>
      <w:r w:rsidR="00DE6853" w:rsidRPr="007B25B0">
        <w:rPr>
          <w:rFonts w:ascii="Arial" w:hAnsi="Arial" w:cs="Arial"/>
          <w:noProof/>
          <w:color w:val="000000" w:themeColor="text1"/>
          <w:lang w:val="bs-Latn-BA"/>
        </w:rPr>
        <w:t>nu proizvodnju energije (</w:t>
      </w:r>
      <w:r w:rsidR="007D391A" w:rsidRPr="007B25B0">
        <w:rPr>
          <w:rFonts w:ascii="Arial" w:hAnsi="Arial" w:cs="Arial"/>
          <w:noProof/>
          <w:color w:val="000000" w:themeColor="text1"/>
          <w:lang w:val="bs-Latn-BA"/>
        </w:rPr>
        <w:t xml:space="preserve">u </w:t>
      </w:r>
      <w:r w:rsidR="00DE6853" w:rsidRPr="007B25B0">
        <w:rPr>
          <w:rFonts w:ascii="Arial" w:hAnsi="Arial" w:cs="Arial"/>
          <w:noProof/>
          <w:color w:val="000000" w:themeColor="text1"/>
          <w:lang w:val="bs-Latn-BA"/>
        </w:rPr>
        <w:t>kWh/g);</w:t>
      </w:r>
    </w:p>
    <w:p w14:paraId="3D8B058B" w14:textId="372ADFBC" w:rsidR="00A7057B" w:rsidRPr="007B25B0" w:rsidRDefault="00A7057B" w:rsidP="001212BF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lang w:val="bs-Latn-BA"/>
        </w:rPr>
      </w:pPr>
      <w:r w:rsidRPr="007B25B0">
        <w:rPr>
          <w:rFonts w:ascii="Arial" w:hAnsi="Arial" w:cs="Arial"/>
          <w:noProof/>
          <w:color w:val="000000" w:themeColor="text1"/>
          <w:lang w:val="bs-Latn-BA"/>
        </w:rPr>
        <w:t>ukoliko se radi o parnim kotlovima navesti kapacitet kotla, količinu proizvedene pare (</w:t>
      </w:r>
      <w:r w:rsidR="00EF114E" w:rsidRPr="007B25B0">
        <w:rPr>
          <w:rFonts w:ascii="Arial" w:hAnsi="Arial" w:cs="Arial"/>
          <w:noProof/>
          <w:color w:val="000000" w:themeColor="text1"/>
          <w:lang w:val="bs-Latn-BA"/>
        </w:rPr>
        <w:t xml:space="preserve">u 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>kg/h), toplotni ulaz (</w:t>
      </w:r>
      <w:r w:rsidR="007D391A" w:rsidRPr="007B25B0">
        <w:rPr>
          <w:rFonts w:ascii="Arial" w:hAnsi="Arial" w:cs="Arial"/>
          <w:noProof/>
          <w:color w:val="000000" w:themeColor="text1"/>
          <w:lang w:val="bs-Latn-BA"/>
        </w:rPr>
        <w:t xml:space="preserve">u 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>MW), maksimalnu potrošnju goriva</w:t>
      </w:r>
      <w:r w:rsidR="00DE6853" w:rsidRPr="007B25B0">
        <w:rPr>
          <w:rFonts w:ascii="Arial" w:hAnsi="Arial" w:cs="Arial"/>
          <w:noProof/>
          <w:color w:val="000000" w:themeColor="text1"/>
          <w:lang w:val="bs-Latn-BA"/>
        </w:rPr>
        <w:t>;</w:t>
      </w:r>
    </w:p>
    <w:p w14:paraId="1960875B" w14:textId="6E4E6E4A" w:rsidR="00A7057B" w:rsidRPr="007B25B0" w:rsidRDefault="00A7057B" w:rsidP="001212BF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lang w:val="bs-Latn-BA"/>
        </w:rPr>
      </w:pPr>
      <w:r w:rsidRPr="007B25B0">
        <w:rPr>
          <w:rFonts w:ascii="Arial" w:hAnsi="Arial" w:cs="Arial"/>
          <w:noProof/>
          <w:color w:val="000000" w:themeColor="text1"/>
          <w:lang w:val="bs-Latn-BA"/>
        </w:rPr>
        <w:t>ukoliko se radi o emisijama iz tehnološkog procesa navesti i opisati izvor emisije u zrak, u vodu</w:t>
      </w:r>
      <w:r w:rsidR="00DE6853" w:rsidRPr="007B25B0">
        <w:rPr>
          <w:rFonts w:ascii="Arial" w:hAnsi="Arial" w:cs="Arial"/>
          <w:noProof/>
          <w:color w:val="000000" w:themeColor="text1"/>
          <w:lang w:val="bs-Latn-BA"/>
        </w:rPr>
        <w:t>, tlo, emisije buke i vibracija;</w:t>
      </w:r>
    </w:p>
    <w:p w14:paraId="6C32DB87" w14:textId="565A1E81" w:rsidR="004E3C50" w:rsidRPr="007B25B0" w:rsidRDefault="004E3C50" w:rsidP="001212BF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lang w:val="bs-Latn-BA"/>
        </w:rPr>
      </w:pPr>
      <w:r w:rsidRPr="007B25B0">
        <w:rPr>
          <w:rFonts w:ascii="Arial" w:hAnsi="Arial" w:cs="Arial"/>
          <w:noProof/>
          <w:color w:val="000000" w:themeColor="text1"/>
          <w:lang w:val="bs-Latn-BA"/>
        </w:rPr>
        <w:t>vrstu/naziv i godišnju količinu nastalog opasnog i neopasnog otpada (za svaku vrstu otpada pojedinačno), način odlaganja/zbr</w:t>
      </w:r>
      <w:r w:rsidR="0056428C" w:rsidRPr="007B25B0">
        <w:rPr>
          <w:rFonts w:ascii="Arial" w:hAnsi="Arial" w:cs="Arial"/>
          <w:noProof/>
          <w:color w:val="000000" w:themeColor="text1"/>
          <w:lang w:val="bs-Latn-BA"/>
        </w:rPr>
        <w:t>injavanja;</w:t>
      </w:r>
    </w:p>
    <w:p w14:paraId="27356A14" w14:textId="0A0994CE" w:rsidR="00A7057B" w:rsidRPr="007B25B0" w:rsidRDefault="00A7057B" w:rsidP="001212B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noProof/>
          <w:color w:val="000000" w:themeColor="text1"/>
          <w:lang w:val="bs-Latn-BA"/>
        </w:rPr>
      </w:pPr>
      <w:r w:rsidRPr="007B25B0">
        <w:rPr>
          <w:rFonts w:ascii="Arial" w:hAnsi="Arial" w:cs="Arial"/>
          <w:noProof/>
          <w:color w:val="000000" w:themeColor="text1"/>
          <w:lang w:val="bs-Latn-BA"/>
        </w:rPr>
        <w:t xml:space="preserve">ukoliko </w:t>
      </w:r>
      <w:r w:rsidR="00753C31" w:rsidRPr="007B25B0">
        <w:rPr>
          <w:rFonts w:ascii="Arial" w:hAnsi="Arial" w:cs="Arial"/>
          <w:noProof/>
          <w:color w:val="000000" w:themeColor="text1"/>
          <w:lang w:val="bs-Latn-BA"/>
        </w:rPr>
        <w:t xml:space="preserve">se skladište 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>opasne supstance navesti ukupan skladišni kapacite</w:t>
      </w:r>
      <w:r w:rsidR="004E3C50" w:rsidRPr="007B25B0">
        <w:rPr>
          <w:rFonts w:ascii="Arial" w:hAnsi="Arial" w:cs="Arial"/>
          <w:noProof/>
          <w:color w:val="000000" w:themeColor="text1"/>
          <w:lang w:val="bs-Latn-BA"/>
        </w:rPr>
        <w:t>t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>,  naziv/vrstu opasne supstance i njenu količinu za svaku supstancu pojedinačno, te da li se skladište u podzemnom ili</w:t>
      </w:r>
      <w:r w:rsidR="004E3C50" w:rsidRPr="007B25B0">
        <w:rPr>
          <w:rFonts w:ascii="Arial" w:hAnsi="Arial" w:cs="Arial"/>
          <w:noProof/>
          <w:color w:val="000000" w:themeColor="text1"/>
          <w:lang w:val="bs-Latn-BA"/>
        </w:rPr>
        <w:t xml:space="preserve"> nadzemnom spre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>mniku, da li se radi o procesnoj opremi, cjevovodu ili drugo</w:t>
      </w:r>
      <w:r w:rsidR="0056428C" w:rsidRPr="007B25B0">
        <w:rPr>
          <w:rFonts w:ascii="Arial" w:hAnsi="Arial" w:cs="Arial"/>
          <w:noProof/>
          <w:color w:val="000000" w:themeColor="text1"/>
          <w:lang w:val="bs-Latn-BA"/>
        </w:rPr>
        <w:t>m načinu skladištenja (navesti</w:t>
      </w:r>
      <w:r w:rsidR="00753C31" w:rsidRPr="007B25B0">
        <w:rPr>
          <w:rFonts w:ascii="Arial" w:hAnsi="Arial" w:cs="Arial"/>
          <w:noProof/>
          <w:color w:val="000000" w:themeColor="text1"/>
          <w:lang w:val="bs-Latn-BA"/>
        </w:rPr>
        <w:t xml:space="preserve"> način</w:t>
      </w:r>
      <w:r w:rsidR="0056428C" w:rsidRPr="007B25B0">
        <w:rPr>
          <w:rFonts w:ascii="Arial" w:hAnsi="Arial" w:cs="Arial"/>
          <w:noProof/>
          <w:color w:val="000000" w:themeColor="text1"/>
          <w:lang w:val="bs-Latn-BA"/>
        </w:rPr>
        <w:t>);</w:t>
      </w:r>
    </w:p>
    <w:p w14:paraId="2B4B3214" w14:textId="62E96F28" w:rsidR="003B1836" w:rsidRPr="007B25B0" w:rsidRDefault="00A7057B" w:rsidP="00387BE4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lang w:val="bs-Latn-BA"/>
        </w:rPr>
      </w:pPr>
      <w:r w:rsidRPr="007B25B0">
        <w:rPr>
          <w:rFonts w:ascii="Arial" w:hAnsi="Arial" w:cs="Arial"/>
          <w:noProof/>
          <w:color w:val="000000" w:themeColor="text1"/>
          <w:lang w:val="bs-Latn-BA"/>
        </w:rPr>
        <w:t>ukratko opisati  postojeće ili predložene mjere za smanjenje uticaja na okoliš po prestanku rada ili zatva</w:t>
      </w:r>
      <w:r w:rsidR="00387BE4" w:rsidRPr="007B25B0">
        <w:rPr>
          <w:rFonts w:ascii="Arial" w:hAnsi="Arial" w:cs="Arial"/>
          <w:noProof/>
          <w:color w:val="000000" w:themeColor="text1"/>
          <w:lang w:val="bs-Latn-BA"/>
        </w:rPr>
        <w:t>ranju dijela ili cijelog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 xml:space="preserve"> </w:t>
      </w:r>
      <w:r w:rsidR="00387BE4" w:rsidRPr="007B25B0">
        <w:rPr>
          <w:rFonts w:ascii="Arial" w:hAnsi="Arial" w:cs="Arial"/>
          <w:noProof/>
          <w:color w:val="000000" w:themeColor="text1"/>
          <w:lang w:val="bs-Latn-BA"/>
        </w:rPr>
        <w:t>pogona i postrojenja ili skladišta/objekta</w:t>
      </w:r>
      <w:r w:rsidRPr="007B25B0">
        <w:rPr>
          <w:rFonts w:ascii="Arial" w:hAnsi="Arial" w:cs="Arial"/>
          <w:noProof/>
          <w:color w:val="000000" w:themeColor="text1"/>
          <w:lang w:val="bs-Latn-BA"/>
        </w:rPr>
        <w:t>, uključujući i mjere za brigu o potencijalnim zagađujućim poslije zatvaranja.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204EE2B" w14:textId="02508978" w:rsidR="006608AA" w:rsidRPr="007B25B0" w:rsidRDefault="006608AA" w:rsidP="00387BE4">
      <w:pPr>
        <w:pStyle w:val="ListParagraph"/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lang w:val="bs-Latn-BA"/>
        </w:rPr>
      </w:pPr>
      <w:r w:rsidRPr="007B25B0">
        <w:rPr>
          <w:rFonts w:ascii="Arial" w:hAnsi="Arial" w:cs="Arial"/>
          <w:bCs/>
          <w:color w:val="000000" w:themeColor="text1"/>
          <w:lang w:val="bs-Latn-BA"/>
        </w:rPr>
        <w:t>Ukoliko operater pogona i postrojenja</w:t>
      </w:r>
      <w:r w:rsidR="00387BE4" w:rsidRPr="007B25B0">
        <w:rPr>
          <w:color w:val="000000" w:themeColor="text1"/>
        </w:rPr>
        <w:t xml:space="preserve"> </w:t>
      </w:r>
      <w:r w:rsidR="00387BE4" w:rsidRPr="007B25B0">
        <w:rPr>
          <w:rFonts w:ascii="Arial" w:hAnsi="Arial" w:cs="Arial"/>
          <w:bCs/>
          <w:color w:val="000000" w:themeColor="text1"/>
          <w:lang w:val="bs-Latn-BA"/>
        </w:rPr>
        <w:t>ili skladišta/objekata</w:t>
      </w:r>
      <w:r w:rsidRPr="007B25B0">
        <w:rPr>
          <w:rFonts w:ascii="Arial" w:hAnsi="Arial" w:cs="Arial"/>
          <w:bCs/>
          <w:color w:val="000000" w:themeColor="text1"/>
          <w:lang w:val="bs-Latn-BA"/>
        </w:rPr>
        <w:t xml:space="preserve"> iz </w:t>
      </w:r>
      <w:r w:rsidR="003B1836" w:rsidRPr="007B25B0">
        <w:rPr>
          <w:rFonts w:ascii="Arial" w:hAnsi="Arial" w:cs="Arial"/>
          <w:bCs/>
          <w:color w:val="000000" w:themeColor="text1"/>
          <w:lang w:val="bs-Latn-BA"/>
        </w:rPr>
        <w:t xml:space="preserve">tačke </w:t>
      </w:r>
      <w:r w:rsidR="0048098E" w:rsidRPr="007B25B0">
        <w:rPr>
          <w:rFonts w:ascii="Arial" w:hAnsi="Arial" w:cs="Arial"/>
          <w:bCs/>
          <w:color w:val="000000" w:themeColor="text1"/>
          <w:lang w:val="bs-Latn-BA"/>
        </w:rPr>
        <w:t>c</w:t>
      </w:r>
      <w:r w:rsidR="003B1836" w:rsidRPr="007B25B0">
        <w:rPr>
          <w:rFonts w:ascii="Arial" w:hAnsi="Arial" w:cs="Arial"/>
          <w:bCs/>
          <w:color w:val="000000" w:themeColor="text1"/>
          <w:lang w:val="bs-Latn-BA"/>
        </w:rPr>
        <w:t xml:space="preserve">) </w:t>
      </w:r>
      <w:r w:rsidRPr="007B25B0">
        <w:rPr>
          <w:rFonts w:ascii="Arial" w:hAnsi="Arial" w:cs="Arial"/>
          <w:bCs/>
          <w:color w:val="000000" w:themeColor="text1"/>
          <w:lang w:val="bs-Latn-BA"/>
        </w:rPr>
        <w:t>stava (2) ovog člana planira promjene u radu, dužan je da o tome u pisanoj formi, a prije podnošenja zahtjeva za izdavanje urbanističke saglasnosti, obavijesti nadležni organ za izdavanje okolinske dozvole.”</w:t>
      </w:r>
    </w:p>
    <w:p w14:paraId="4231ED25" w14:textId="77777777" w:rsidR="00F80B0D" w:rsidRPr="007B25B0" w:rsidRDefault="008E78C2" w:rsidP="0052594B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bCs/>
          <w:color w:val="000000" w:themeColor="text1"/>
          <w:lang w:val="bs-Latn-BA"/>
        </w:rPr>
      </w:pPr>
      <w:r w:rsidRPr="007B25B0">
        <w:rPr>
          <w:rFonts w:ascii="Arial" w:hAnsi="Arial" w:cs="Arial"/>
          <w:bCs/>
          <w:color w:val="000000" w:themeColor="text1"/>
          <w:lang w:val="bs-Latn-BA"/>
        </w:rPr>
        <w:t xml:space="preserve"> </w:t>
      </w:r>
    </w:p>
    <w:p w14:paraId="3A4C6A8B" w14:textId="77777777" w:rsidR="00732918" w:rsidRPr="007B25B0" w:rsidRDefault="00732918" w:rsidP="0052594B">
      <w:pPr>
        <w:spacing w:after="0"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38F00D01" w14:textId="77777777" w:rsidR="00732918" w:rsidRPr="007B25B0" w:rsidRDefault="00732918" w:rsidP="0052594B">
      <w:pPr>
        <w:spacing w:after="0"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7F8A3E6B" w14:textId="77777777" w:rsidR="00732918" w:rsidRPr="007B25B0" w:rsidRDefault="00732918" w:rsidP="0052594B">
      <w:pPr>
        <w:spacing w:after="0"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</w:p>
    <w:p w14:paraId="1063724C" w14:textId="6C2FC44A" w:rsidR="00704B70" w:rsidRPr="007B25B0" w:rsidRDefault="00704B70" w:rsidP="0052594B">
      <w:pPr>
        <w:spacing w:after="0"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7B25B0">
        <w:rPr>
          <w:rFonts w:ascii="Arial" w:hAnsi="Arial" w:cs="Arial"/>
          <w:b/>
          <w:noProof/>
          <w:color w:val="000000" w:themeColor="text1"/>
          <w:lang w:val="bs-Latn-BA"/>
        </w:rPr>
        <w:lastRenderedPageBreak/>
        <w:t xml:space="preserve">Član </w:t>
      </w:r>
      <w:r w:rsidR="002E5956" w:rsidRPr="007B25B0">
        <w:rPr>
          <w:rFonts w:ascii="Arial" w:hAnsi="Arial" w:cs="Arial"/>
          <w:b/>
          <w:noProof/>
          <w:color w:val="000000" w:themeColor="text1"/>
          <w:lang w:val="bs-Latn-BA"/>
        </w:rPr>
        <w:t>2</w:t>
      </w:r>
      <w:r w:rsidRPr="007B25B0">
        <w:rPr>
          <w:rFonts w:ascii="Arial" w:hAnsi="Arial" w:cs="Arial"/>
          <w:b/>
          <w:noProof/>
          <w:color w:val="000000" w:themeColor="text1"/>
          <w:lang w:val="bs-Latn-BA"/>
        </w:rPr>
        <w:t>.</w:t>
      </w:r>
    </w:p>
    <w:p w14:paraId="52247685" w14:textId="77777777" w:rsidR="00704B70" w:rsidRPr="007B25B0" w:rsidRDefault="00704B70" w:rsidP="00564D0B">
      <w:pPr>
        <w:spacing w:after="0" w:line="360" w:lineRule="auto"/>
        <w:jc w:val="center"/>
        <w:rPr>
          <w:rFonts w:ascii="Arial" w:hAnsi="Arial" w:cs="Arial"/>
          <w:b/>
          <w:noProof/>
          <w:color w:val="000000" w:themeColor="text1"/>
          <w:lang w:val="bs-Latn-BA"/>
        </w:rPr>
      </w:pPr>
      <w:r w:rsidRPr="007B25B0">
        <w:rPr>
          <w:rFonts w:ascii="Arial" w:hAnsi="Arial" w:cs="Arial"/>
          <w:b/>
          <w:noProof/>
          <w:color w:val="000000" w:themeColor="text1"/>
          <w:lang w:val="bs-Latn-BA"/>
        </w:rPr>
        <w:t>(Stupanje na snagu)</w:t>
      </w:r>
    </w:p>
    <w:p w14:paraId="5BE3ACE6" w14:textId="77777777" w:rsidR="00704B70" w:rsidRPr="007B25B0" w:rsidRDefault="00C40EEA" w:rsidP="0052594B">
      <w:pPr>
        <w:pStyle w:val="NoSpacing"/>
        <w:spacing w:line="36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 xml:space="preserve">Ova </w:t>
      </w:r>
      <w:r w:rsidR="00704B70" w:rsidRPr="007B25B0">
        <w:rPr>
          <w:rFonts w:ascii="Arial" w:hAnsi="Arial" w:cs="Arial"/>
          <w:color w:val="000000" w:themeColor="text1"/>
          <w:lang w:val="bs-Latn-BA"/>
        </w:rPr>
        <w:t>Uredb</w:t>
      </w:r>
      <w:r w:rsidR="00832459" w:rsidRPr="007B25B0">
        <w:rPr>
          <w:rFonts w:ascii="Arial" w:hAnsi="Arial" w:cs="Arial"/>
          <w:color w:val="000000" w:themeColor="text1"/>
          <w:lang w:val="bs-Latn-BA"/>
        </w:rPr>
        <w:t>a</w:t>
      </w:r>
      <w:r w:rsidR="00704B70" w:rsidRPr="007B25B0">
        <w:rPr>
          <w:rFonts w:ascii="Arial" w:hAnsi="Arial" w:cs="Arial"/>
          <w:color w:val="000000" w:themeColor="text1"/>
          <w:lang w:val="bs-Latn-BA"/>
        </w:rPr>
        <w:t xml:space="preserve"> stupa</w:t>
      </w:r>
      <w:r w:rsidR="00832459" w:rsidRPr="007B25B0">
        <w:rPr>
          <w:rFonts w:ascii="Arial" w:hAnsi="Arial" w:cs="Arial"/>
          <w:color w:val="000000" w:themeColor="text1"/>
          <w:lang w:val="bs-Latn-BA"/>
        </w:rPr>
        <w:t xml:space="preserve"> na snagu osmog dana </w:t>
      </w:r>
      <w:r w:rsidRPr="007B25B0">
        <w:rPr>
          <w:rFonts w:ascii="Arial" w:hAnsi="Arial" w:cs="Arial"/>
          <w:color w:val="000000" w:themeColor="text1"/>
          <w:lang w:val="bs-Latn-BA"/>
        </w:rPr>
        <w:t>od</w:t>
      </w:r>
      <w:r w:rsidR="00704B70" w:rsidRPr="007B25B0">
        <w:rPr>
          <w:rFonts w:ascii="Arial" w:hAnsi="Arial" w:cs="Arial"/>
          <w:color w:val="000000" w:themeColor="text1"/>
          <w:lang w:val="bs-Latn-BA"/>
        </w:rPr>
        <w:t xml:space="preserve"> dana objavljivanja u “Službenim novinama Federacije BiH”. </w:t>
      </w:r>
    </w:p>
    <w:p w14:paraId="486CD290" w14:textId="77777777" w:rsidR="00704B70" w:rsidRPr="007B25B0" w:rsidRDefault="00704B70" w:rsidP="0052594B">
      <w:pPr>
        <w:pStyle w:val="NoSpacing"/>
        <w:spacing w:line="36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</w:p>
    <w:p w14:paraId="11D6C471" w14:textId="77777777" w:rsidR="00704B70" w:rsidRPr="007B25B0" w:rsidRDefault="00704B70" w:rsidP="0052594B">
      <w:pPr>
        <w:pStyle w:val="NoSpacing"/>
        <w:spacing w:line="36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</w:p>
    <w:p w14:paraId="773AECA1" w14:textId="77777777" w:rsidR="00704B70" w:rsidRPr="007B25B0" w:rsidRDefault="00704B70" w:rsidP="0052594B">
      <w:pPr>
        <w:spacing w:line="360" w:lineRule="auto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 xml:space="preserve">V. broj _________________       </w:t>
      </w:r>
    </w:p>
    <w:p w14:paraId="2A94C491" w14:textId="77777777" w:rsidR="00704B70" w:rsidRPr="007B25B0" w:rsidRDefault="00704B70" w:rsidP="0052594B">
      <w:pPr>
        <w:spacing w:line="360" w:lineRule="auto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>_______________________2021. godine</w:t>
      </w:r>
    </w:p>
    <w:p w14:paraId="2845ADB1" w14:textId="77777777" w:rsidR="00704B70" w:rsidRPr="007B25B0" w:rsidRDefault="00704B70" w:rsidP="0052594B">
      <w:pPr>
        <w:spacing w:line="360" w:lineRule="auto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>Sarajevo</w:t>
      </w:r>
    </w:p>
    <w:p w14:paraId="14252FED" w14:textId="77777777" w:rsidR="00704B70" w:rsidRPr="007B25B0" w:rsidRDefault="00704B70" w:rsidP="0052594B">
      <w:pPr>
        <w:spacing w:line="360" w:lineRule="auto"/>
        <w:ind w:left="5040" w:firstLine="720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 xml:space="preserve">  Premijer </w:t>
      </w:r>
    </w:p>
    <w:p w14:paraId="71AC5BA8" w14:textId="77777777" w:rsidR="00704B70" w:rsidRPr="007B25B0" w:rsidRDefault="00704B70" w:rsidP="0052594B">
      <w:pPr>
        <w:spacing w:line="360" w:lineRule="auto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 xml:space="preserve">                                                                                   ______________________   </w:t>
      </w:r>
    </w:p>
    <w:p w14:paraId="7C451D96" w14:textId="77777777" w:rsidR="00704B70" w:rsidRPr="007B25B0" w:rsidRDefault="00704B70" w:rsidP="00F70D5B">
      <w:pPr>
        <w:spacing w:line="360" w:lineRule="auto"/>
        <w:ind w:left="5040" w:firstLine="720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>(ime i prezime)</w:t>
      </w:r>
    </w:p>
    <w:p w14:paraId="4AB1C562" w14:textId="77777777" w:rsidR="00524C45" w:rsidRPr="007B25B0" w:rsidRDefault="00524C45" w:rsidP="00524C45">
      <w:pPr>
        <w:spacing w:line="360" w:lineRule="auto"/>
        <w:rPr>
          <w:rFonts w:ascii="Arial" w:hAnsi="Arial" w:cs="Arial"/>
          <w:color w:val="000000" w:themeColor="text1"/>
          <w:lang w:val="bs-Latn-BA"/>
        </w:rPr>
      </w:pPr>
    </w:p>
    <w:p w14:paraId="1CE2322E" w14:textId="77777777" w:rsidR="00CD5635" w:rsidRPr="007B25B0" w:rsidRDefault="00CD5635">
      <w:pPr>
        <w:rPr>
          <w:rFonts w:ascii="Arial" w:hAnsi="Arial" w:cs="Arial"/>
          <w:b/>
          <w:color w:val="000000" w:themeColor="text1"/>
          <w:lang w:val="bs-Latn-BA"/>
        </w:rPr>
      </w:pPr>
      <w:r w:rsidRPr="007B25B0">
        <w:rPr>
          <w:rFonts w:ascii="Arial" w:hAnsi="Arial" w:cs="Arial"/>
          <w:b/>
          <w:color w:val="000000" w:themeColor="text1"/>
          <w:lang w:val="bs-Latn-BA"/>
        </w:rPr>
        <w:br w:type="page"/>
      </w:r>
    </w:p>
    <w:p w14:paraId="6A7BE715" w14:textId="68A1A920" w:rsidR="00524C45" w:rsidRPr="007B25B0" w:rsidRDefault="00524C45" w:rsidP="00D71272">
      <w:pPr>
        <w:spacing w:after="0" w:line="360" w:lineRule="auto"/>
        <w:ind w:right="326"/>
        <w:jc w:val="center"/>
        <w:rPr>
          <w:rFonts w:ascii="Arial" w:hAnsi="Arial" w:cs="Arial"/>
          <w:b/>
          <w:color w:val="000000" w:themeColor="text1"/>
          <w:lang w:val="bs-Latn-BA"/>
        </w:rPr>
      </w:pPr>
      <w:r w:rsidRPr="007B25B0">
        <w:rPr>
          <w:rFonts w:ascii="Arial" w:hAnsi="Arial" w:cs="Arial"/>
          <w:b/>
          <w:color w:val="000000" w:themeColor="text1"/>
          <w:lang w:val="bs-Latn-BA"/>
        </w:rPr>
        <w:lastRenderedPageBreak/>
        <w:t>O B R A Z L O Ž E NJ E</w:t>
      </w:r>
    </w:p>
    <w:p w14:paraId="2E5CF6C2" w14:textId="77777777" w:rsidR="00524C45" w:rsidRPr="007B25B0" w:rsidRDefault="00524C45" w:rsidP="00D71272">
      <w:pPr>
        <w:spacing w:after="0" w:line="360" w:lineRule="auto"/>
        <w:ind w:right="326"/>
        <w:jc w:val="both"/>
        <w:rPr>
          <w:rFonts w:ascii="Arial" w:hAnsi="Arial" w:cs="Arial"/>
          <w:b/>
          <w:color w:val="000000" w:themeColor="text1"/>
          <w:lang w:val="bs-Latn-BA"/>
        </w:rPr>
      </w:pPr>
    </w:p>
    <w:p w14:paraId="3F733A0E" w14:textId="77777777" w:rsidR="00524C45" w:rsidRPr="007B25B0" w:rsidRDefault="00524C45" w:rsidP="00D7127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7B25B0">
        <w:rPr>
          <w:rFonts w:ascii="Arial" w:hAnsi="Arial" w:cs="Arial"/>
          <w:b/>
          <w:color w:val="000000" w:themeColor="text1"/>
          <w:lang w:val="bs-Latn-BA"/>
        </w:rPr>
        <w:t>I . ZAKONSKI OSNOV ZA DONOŠENJE PROPISA</w:t>
      </w:r>
    </w:p>
    <w:p w14:paraId="42871329" w14:textId="77777777" w:rsidR="00524C45" w:rsidRPr="007B25B0" w:rsidRDefault="00524C45" w:rsidP="00D71272">
      <w:pPr>
        <w:spacing w:after="0" w:line="360" w:lineRule="auto"/>
        <w:ind w:right="-177"/>
        <w:jc w:val="both"/>
        <w:rPr>
          <w:rFonts w:ascii="Arial" w:hAnsi="Arial" w:cs="Arial"/>
          <w:color w:val="000000" w:themeColor="text1"/>
          <w:lang w:val="bs-Latn-BA"/>
        </w:rPr>
      </w:pPr>
    </w:p>
    <w:p w14:paraId="7B0A874B" w14:textId="78A62FEB" w:rsidR="00524C45" w:rsidRPr="007B25B0" w:rsidRDefault="006817AE" w:rsidP="00FE5EA5">
      <w:pPr>
        <w:spacing w:after="0" w:line="360" w:lineRule="auto"/>
        <w:ind w:right="-177"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>Pravni osnov za donošenje ove uredbe predstavlja isti zakonski osnov na osnovu kojeg je donešena važeća uredba koja se dopunjuje, jer se dopuna odnosi na tu uredbu, pa se radi t</w:t>
      </w:r>
      <w:r w:rsidR="00CE3239" w:rsidRPr="007B25B0">
        <w:rPr>
          <w:rFonts w:ascii="Arial" w:hAnsi="Arial" w:cs="Arial"/>
          <w:color w:val="000000" w:themeColor="text1"/>
          <w:lang w:val="bs-Latn-BA"/>
        </w:rPr>
        <w:t>oga ko</w:t>
      </w:r>
      <w:r w:rsidR="005D018F" w:rsidRPr="007B25B0">
        <w:rPr>
          <w:rFonts w:ascii="Arial" w:hAnsi="Arial" w:cs="Arial"/>
          <w:color w:val="000000" w:themeColor="text1"/>
          <w:lang w:val="bs-Latn-BA"/>
        </w:rPr>
        <w:t>risti isti zakonski osnov, i to</w:t>
      </w:r>
      <w:r w:rsidR="00CE3239" w:rsidRPr="007B25B0">
        <w:rPr>
          <w:color w:val="000000" w:themeColor="text1"/>
        </w:rPr>
        <w:t xml:space="preserve"> </w:t>
      </w:r>
      <w:r w:rsidR="00CE3239" w:rsidRPr="007B25B0">
        <w:rPr>
          <w:rFonts w:ascii="Arial" w:hAnsi="Arial" w:cs="Arial"/>
          <w:color w:val="000000" w:themeColor="text1"/>
          <w:lang w:val="bs-Latn-BA"/>
        </w:rPr>
        <w:t xml:space="preserve">član 83. stav (1) Zakona o zaštiti okoliša ("Službene novine Federacije BiH", broj: 15/21) i član 19. Zakona o Vladi Federacije BiH kojim je propisano da Vlada Federacije donosi uredbe kojima se: “... bliže uređuju odnosi za provođenje zakona ....“. </w:t>
      </w:r>
    </w:p>
    <w:p w14:paraId="5DF538A3" w14:textId="77777777" w:rsidR="00524C45" w:rsidRPr="007B25B0" w:rsidRDefault="00524C45" w:rsidP="00D71272">
      <w:pPr>
        <w:spacing w:after="0" w:line="36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14:paraId="2F000064" w14:textId="07E037EF" w:rsidR="005E38C9" w:rsidRPr="007B25B0" w:rsidRDefault="00524C45" w:rsidP="00AE59F4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7B25B0">
        <w:rPr>
          <w:rFonts w:ascii="Arial" w:hAnsi="Arial" w:cs="Arial"/>
          <w:b/>
          <w:color w:val="000000" w:themeColor="text1"/>
          <w:lang w:val="bs-Latn-BA"/>
        </w:rPr>
        <w:t xml:space="preserve">II. </w:t>
      </w:r>
      <w:r w:rsidR="005E38C9" w:rsidRPr="007B25B0">
        <w:rPr>
          <w:rFonts w:ascii="Arial" w:hAnsi="Arial" w:cs="Arial"/>
          <w:b/>
          <w:color w:val="000000" w:themeColor="text1"/>
          <w:lang w:val="bs-Latn-BA"/>
        </w:rPr>
        <w:t>USKLAĐENOST SA ZAKONODAVSTVOM EVROPSKE UNIJE</w:t>
      </w:r>
    </w:p>
    <w:p w14:paraId="6FEAFF29" w14:textId="5CB58149" w:rsidR="005E38C9" w:rsidRPr="007B25B0" w:rsidRDefault="005E38C9" w:rsidP="00AE59F4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>Ovom dopunom Uredbe kojom se utvrđuju pogoni i postrojenja koja moraju imati okolinsku dozvolu, ne vrši se usklađivanje sa zakonodavstom EU.</w:t>
      </w:r>
    </w:p>
    <w:p w14:paraId="63EF9F5E" w14:textId="77777777" w:rsidR="005E38C9" w:rsidRPr="007B25B0" w:rsidRDefault="005E38C9" w:rsidP="00D7127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</w:p>
    <w:p w14:paraId="238AB0BD" w14:textId="3452C154" w:rsidR="00524C45" w:rsidRPr="007B25B0" w:rsidRDefault="005E38C9" w:rsidP="00D71272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7B25B0">
        <w:rPr>
          <w:rFonts w:ascii="Arial" w:hAnsi="Arial" w:cs="Arial"/>
          <w:b/>
          <w:color w:val="000000" w:themeColor="text1"/>
          <w:lang w:val="bs-Latn-BA"/>
        </w:rPr>
        <w:t xml:space="preserve">III. </w:t>
      </w:r>
      <w:r w:rsidR="00524C45" w:rsidRPr="007B25B0">
        <w:rPr>
          <w:rFonts w:ascii="Arial" w:hAnsi="Arial" w:cs="Arial"/>
          <w:b/>
          <w:color w:val="000000" w:themeColor="text1"/>
          <w:lang w:val="bs-Latn-BA"/>
        </w:rPr>
        <w:t>RAZLOZI ZA DONOŠENJE PROPISA</w:t>
      </w:r>
    </w:p>
    <w:p w14:paraId="1CC29455" w14:textId="66AA01B3" w:rsidR="00B37E73" w:rsidRPr="007B25B0" w:rsidRDefault="00B37E73" w:rsidP="00B37E73">
      <w:pPr>
        <w:spacing w:after="0" w:line="36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14:paraId="0CB206DE" w14:textId="184E0197" w:rsidR="00077829" w:rsidRPr="007B25B0" w:rsidRDefault="00B37E73" w:rsidP="00562C01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 xml:space="preserve">Razlog za donošenje ove uredbe predstavlja činjenica </w:t>
      </w:r>
      <w:r w:rsidR="00AE59F4" w:rsidRPr="007B25B0">
        <w:rPr>
          <w:rFonts w:ascii="Arial" w:hAnsi="Arial" w:cs="Arial"/>
          <w:color w:val="000000" w:themeColor="text1"/>
          <w:lang w:val="bs-Latn-BA"/>
        </w:rPr>
        <w:t xml:space="preserve">što </w:t>
      </w:r>
      <w:r w:rsidR="00A14527" w:rsidRPr="007B25B0">
        <w:rPr>
          <w:rFonts w:ascii="Arial" w:hAnsi="Arial" w:cs="Arial"/>
          <w:color w:val="000000" w:themeColor="text1"/>
          <w:lang w:val="bs-Latn-BA"/>
        </w:rPr>
        <w:t xml:space="preserve">je utvrđeno da u važećoj uredbi, </w:t>
      </w:r>
      <w:r w:rsidR="00AE59F4" w:rsidRPr="007B25B0">
        <w:rPr>
          <w:rFonts w:ascii="Arial" w:hAnsi="Arial" w:cs="Arial"/>
          <w:color w:val="000000" w:themeColor="text1"/>
          <w:lang w:val="bs-Latn-BA"/>
        </w:rPr>
        <w:t>ni</w:t>
      </w:r>
      <w:r w:rsidR="00B54AEA" w:rsidRPr="007B25B0">
        <w:rPr>
          <w:rFonts w:ascii="Arial" w:hAnsi="Arial" w:cs="Arial"/>
          <w:color w:val="000000" w:themeColor="text1"/>
          <w:lang w:val="bs-Latn-BA"/>
        </w:rPr>
        <w:t xml:space="preserve">je regulisan način </w:t>
      </w:r>
      <w:r w:rsidR="00AF5E8C" w:rsidRPr="007B25B0">
        <w:rPr>
          <w:rFonts w:ascii="Arial" w:hAnsi="Arial" w:cs="Arial"/>
          <w:color w:val="000000" w:themeColor="text1"/>
          <w:lang w:val="bs-Latn-BA"/>
        </w:rPr>
        <w:t xml:space="preserve">utvrđivanja </w:t>
      </w:r>
      <w:r w:rsidR="00B54AEA" w:rsidRPr="007B25B0">
        <w:rPr>
          <w:rFonts w:ascii="Arial" w:hAnsi="Arial" w:cs="Arial"/>
          <w:color w:val="000000" w:themeColor="text1"/>
          <w:lang w:val="bs-Latn-BA"/>
        </w:rPr>
        <w:t>obaveze</w:t>
      </w:r>
      <w:r w:rsidR="00AF5E8C" w:rsidRPr="007B25B0">
        <w:rPr>
          <w:rFonts w:ascii="Arial" w:hAnsi="Arial" w:cs="Arial"/>
          <w:color w:val="000000" w:themeColor="text1"/>
          <w:lang w:val="bs-Latn-BA"/>
        </w:rPr>
        <w:t xml:space="preserve"> za operatere da provode </w:t>
      </w:r>
      <w:r w:rsidR="00AF5E8C" w:rsidRPr="007B25B0">
        <w:rPr>
          <w:rFonts w:ascii="Arial" w:hAnsi="Arial" w:cs="Arial"/>
          <w:i/>
          <w:color w:val="000000" w:themeColor="text1"/>
          <w:lang w:val="bs-Latn-BA"/>
        </w:rPr>
        <w:t xml:space="preserve">opšte </w:t>
      </w:r>
      <w:r w:rsidR="00B54AEA" w:rsidRPr="007B25B0">
        <w:rPr>
          <w:rFonts w:ascii="Arial" w:hAnsi="Arial" w:cs="Arial"/>
          <w:i/>
          <w:color w:val="000000" w:themeColor="text1"/>
          <w:lang w:val="bs-Latn-BA"/>
        </w:rPr>
        <w:t>obaveze</w:t>
      </w:r>
      <w:r w:rsidR="00AE59F4" w:rsidRPr="007B25B0">
        <w:rPr>
          <w:rFonts w:ascii="Arial" w:hAnsi="Arial" w:cs="Arial"/>
          <w:i/>
          <w:color w:val="000000" w:themeColor="text1"/>
          <w:lang w:val="bs-Latn-BA"/>
        </w:rPr>
        <w:t xml:space="preserve"> </w:t>
      </w:r>
      <w:r w:rsidR="00AF5E8C" w:rsidRPr="007B25B0">
        <w:rPr>
          <w:rFonts w:ascii="Arial" w:hAnsi="Arial" w:cs="Arial"/>
          <w:i/>
          <w:color w:val="000000" w:themeColor="text1"/>
          <w:lang w:val="bs-Latn-BA"/>
        </w:rPr>
        <w:t>za zaštitu</w:t>
      </w:r>
      <w:r w:rsidR="00AE59F4" w:rsidRPr="007B25B0">
        <w:rPr>
          <w:rFonts w:ascii="Arial" w:hAnsi="Arial" w:cs="Arial"/>
          <w:i/>
          <w:color w:val="000000" w:themeColor="text1"/>
          <w:lang w:val="bs-Latn-BA"/>
        </w:rPr>
        <w:t xml:space="preserve"> okoliša</w:t>
      </w:r>
      <w:r w:rsidR="00B54AEA" w:rsidRPr="007B25B0">
        <w:rPr>
          <w:rFonts w:ascii="Arial" w:hAnsi="Arial" w:cs="Arial"/>
          <w:color w:val="000000" w:themeColor="text1"/>
          <w:lang w:val="bs-Latn-BA"/>
        </w:rPr>
        <w:t xml:space="preserve"> </w:t>
      </w:r>
      <w:r w:rsidR="00077829" w:rsidRPr="007B25B0">
        <w:rPr>
          <w:rFonts w:ascii="Arial" w:hAnsi="Arial" w:cs="Arial"/>
          <w:color w:val="000000" w:themeColor="text1"/>
          <w:lang w:val="bs-Latn-BA"/>
        </w:rPr>
        <w:t>kako je propisanu</w:t>
      </w:r>
      <w:r w:rsidR="00B54AEA" w:rsidRPr="007B25B0">
        <w:rPr>
          <w:rFonts w:ascii="Arial" w:hAnsi="Arial" w:cs="Arial"/>
          <w:color w:val="000000" w:themeColor="text1"/>
          <w:lang w:val="bs-Latn-BA"/>
        </w:rPr>
        <w:t xml:space="preserve"> u članu 84. stav (1) Zakona o zaštiti okoliša, </w:t>
      </w:r>
      <w:r w:rsidR="00FE0039" w:rsidRPr="007B25B0">
        <w:rPr>
          <w:rFonts w:ascii="Arial" w:hAnsi="Arial" w:cs="Arial"/>
          <w:color w:val="000000" w:themeColor="text1"/>
          <w:lang w:val="bs-Latn-BA"/>
        </w:rPr>
        <w:t xml:space="preserve">za pogone i postrojenja </w:t>
      </w:r>
      <w:r w:rsidR="0045463F" w:rsidRPr="007B25B0">
        <w:rPr>
          <w:rFonts w:ascii="Arial" w:hAnsi="Arial" w:cs="Arial"/>
          <w:color w:val="000000" w:themeColor="text1"/>
          <w:lang w:val="bs-Latn-BA"/>
        </w:rPr>
        <w:t>u sljedećim slučajevima</w:t>
      </w:r>
      <w:r w:rsidR="00077829" w:rsidRPr="007B25B0">
        <w:rPr>
          <w:rFonts w:ascii="Arial" w:hAnsi="Arial" w:cs="Arial"/>
          <w:color w:val="000000" w:themeColor="text1"/>
          <w:lang w:val="bs-Latn-BA"/>
        </w:rPr>
        <w:t>:</w:t>
      </w:r>
    </w:p>
    <w:p w14:paraId="6F86B9C5" w14:textId="0431E436" w:rsidR="00077829" w:rsidRPr="007B25B0" w:rsidRDefault="00077829" w:rsidP="0007782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 xml:space="preserve">prema </w:t>
      </w:r>
      <w:r w:rsidRPr="007B25B0">
        <w:rPr>
          <w:rFonts w:ascii="Arial" w:hAnsi="Arial" w:cs="Arial"/>
          <w:i/>
          <w:color w:val="000000" w:themeColor="text1"/>
          <w:lang w:val="bs-Latn-BA"/>
        </w:rPr>
        <w:t>Zakonu o zaštiti okoliša</w:t>
      </w:r>
      <w:r w:rsidRPr="007B25B0">
        <w:rPr>
          <w:rFonts w:ascii="Arial" w:hAnsi="Arial" w:cs="Arial"/>
          <w:color w:val="000000" w:themeColor="text1"/>
          <w:lang w:val="bs-Latn-BA"/>
        </w:rPr>
        <w:t xml:space="preserve"> i </w:t>
      </w:r>
      <w:r w:rsidRPr="007B25B0">
        <w:rPr>
          <w:rFonts w:ascii="Arial" w:hAnsi="Arial" w:cs="Arial"/>
          <w:i/>
          <w:color w:val="000000" w:themeColor="text1"/>
          <w:lang w:val="bs-Latn-BA"/>
        </w:rPr>
        <w:t>Uredbi kojom se utvrđuju pogoni i postrojenja koja moraju imati okolinsku dozvolu</w:t>
      </w:r>
      <w:r w:rsidRPr="007B25B0">
        <w:rPr>
          <w:rFonts w:ascii="Arial" w:hAnsi="Arial" w:cs="Arial"/>
          <w:color w:val="000000" w:themeColor="text1"/>
          <w:lang w:val="bs-Latn-BA"/>
        </w:rPr>
        <w:t>, koji su usklađeni sa EU direktivama, za jedan dio djelatnosti prema kapacitetu i drugim karakteristikama pogona/postrojenja okolišna dozvola se više neće obnavljati, tako da je nadležni organ za okoliš dužan propisati opće obaveze operatera u vezi zaštite okoliša ukoliko su za taj pogon/postrojenje pribavljene sve ostale neophodne dozvole u skladu sa zakonima Federacije BiH i ne mogu se primjeni odredbe člana 84. novog Zakona o zaštiti okoliša za propisiv</w:t>
      </w:r>
      <w:r w:rsidR="00A7676D" w:rsidRPr="007B25B0">
        <w:rPr>
          <w:rFonts w:ascii="Arial" w:hAnsi="Arial" w:cs="Arial"/>
          <w:color w:val="000000" w:themeColor="text1"/>
          <w:lang w:val="bs-Latn-BA"/>
        </w:rPr>
        <w:t>anje istih;</w:t>
      </w:r>
    </w:p>
    <w:p w14:paraId="76EF49B2" w14:textId="2BA07ADE" w:rsidR="00B54AEA" w:rsidRPr="007B25B0" w:rsidRDefault="00A7676D" w:rsidP="00DF1F0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 xml:space="preserve">pogoni i </w:t>
      </w:r>
      <w:r w:rsidR="00B3099C" w:rsidRPr="007B25B0">
        <w:rPr>
          <w:rFonts w:ascii="Arial" w:hAnsi="Arial" w:cs="Arial"/>
          <w:color w:val="000000" w:themeColor="text1"/>
          <w:lang w:val="bs-Latn-BA"/>
        </w:rPr>
        <w:t xml:space="preserve">postrojenja, kao i skladišta i drugi objekti koji su po starom Zakonu o zaštiti okoliša pribavili okolišnu dozvolu od nadležnog organa, i </w:t>
      </w:r>
      <w:r w:rsidRPr="007B25B0">
        <w:rPr>
          <w:rFonts w:ascii="Arial" w:hAnsi="Arial" w:cs="Arial"/>
          <w:color w:val="000000" w:themeColor="text1"/>
          <w:lang w:val="bs-Latn-BA"/>
        </w:rPr>
        <w:t xml:space="preserve">koji </w:t>
      </w:r>
      <w:r w:rsidR="003C236B" w:rsidRPr="007B25B0">
        <w:rPr>
          <w:rFonts w:ascii="Arial" w:hAnsi="Arial" w:cs="Arial"/>
          <w:color w:val="000000" w:themeColor="text1"/>
          <w:lang w:val="bs-Latn-BA"/>
        </w:rPr>
        <w:t>posjeduju</w:t>
      </w:r>
      <w:r w:rsidR="00077829" w:rsidRPr="007B25B0">
        <w:rPr>
          <w:rFonts w:ascii="Arial" w:hAnsi="Arial" w:cs="Arial"/>
          <w:color w:val="000000" w:themeColor="text1"/>
          <w:lang w:val="bs-Latn-BA"/>
        </w:rPr>
        <w:t xml:space="preserve"> sve druge neophodne i pravomoćne dozvole: građevinsku, upotrebnu dozvolu, dozvolu za eksploataciju i pravosnažni vodni akt za nesmetano obavljanje djelatnosti,  a koje ne sadrže sve neophodne obaveze i mjere zaštite okoliša (zastita zraka, tla, zaštita od buke, monitoring zagađenja, izvještavanje), </w:t>
      </w:r>
      <w:r w:rsidR="0045463F" w:rsidRPr="007B25B0">
        <w:rPr>
          <w:rFonts w:ascii="Arial" w:hAnsi="Arial" w:cs="Arial"/>
          <w:color w:val="000000" w:themeColor="text1"/>
          <w:lang w:val="bs-Latn-BA"/>
        </w:rPr>
        <w:t>p</w:t>
      </w:r>
      <w:r w:rsidR="00DF1F0B" w:rsidRPr="007B25B0">
        <w:rPr>
          <w:rFonts w:ascii="Arial" w:hAnsi="Arial" w:cs="Arial"/>
          <w:color w:val="000000" w:themeColor="text1"/>
          <w:lang w:val="bs-Latn-BA"/>
        </w:rPr>
        <w:t xml:space="preserve">a </w:t>
      </w:r>
      <w:r w:rsidR="0045463F" w:rsidRPr="007B25B0">
        <w:rPr>
          <w:rFonts w:ascii="Arial" w:hAnsi="Arial" w:cs="Arial"/>
          <w:color w:val="000000" w:themeColor="text1"/>
          <w:lang w:val="bs-Latn-BA"/>
        </w:rPr>
        <w:t>se na njih ne</w:t>
      </w:r>
      <w:r w:rsidR="00DF1F0B" w:rsidRPr="007B25B0">
        <w:rPr>
          <w:rFonts w:ascii="Arial" w:hAnsi="Arial" w:cs="Arial"/>
          <w:color w:val="000000" w:themeColor="text1"/>
          <w:lang w:val="bs-Latn-BA"/>
        </w:rPr>
        <w:t xml:space="preserve"> može primijeniti član 84. stav 3. Zakona o zaštiti okoliša jer se radi o već </w:t>
      </w:r>
      <w:r w:rsidR="00DF1F0B" w:rsidRPr="007B25B0">
        <w:rPr>
          <w:rFonts w:ascii="Arial" w:hAnsi="Arial" w:cs="Arial"/>
          <w:color w:val="000000" w:themeColor="text1"/>
          <w:lang w:val="bs-Latn-BA"/>
        </w:rPr>
        <w:lastRenderedPageBreak/>
        <w:t xml:space="preserve">izgrađenim objektima, </w:t>
      </w:r>
      <w:r w:rsidR="00077829" w:rsidRPr="007B25B0">
        <w:rPr>
          <w:rFonts w:ascii="Arial" w:hAnsi="Arial" w:cs="Arial"/>
          <w:color w:val="000000" w:themeColor="text1"/>
          <w:lang w:val="bs-Latn-BA"/>
        </w:rPr>
        <w:t xml:space="preserve">tako da je neophodno propisivanje općih obaveza operatera u vezi zaštite okoliša </w:t>
      </w:r>
      <w:r w:rsidR="00B3099C" w:rsidRPr="007B25B0">
        <w:rPr>
          <w:rFonts w:ascii="Arial" w:hAnsi="Arial" w:cs="Arial"/>
          <w:color w:val="000000" w:themeColor="text1"/>
          <w:lang w:val="bs-Latn-BA"/>
        </w:rPr>
        <w:t xml:space="preserve">nakon isteka roka važenja okolinske dozvole, </w:t>
      </w:r>
      <w:r w:rsidR="00077829" w:rsidRPr="007B25B0">
        <w:rPr>
          <w:rFonts w:ascii="Arial" w:hAnsi="Arial" w:cs="Arial"/>
          <w:color w:val="000000" w:themeColor="text1"/>
          <w:lang w:val="bs-Latn-BA"/>
        </w:rPr>
        <w:t xml:space="preserve">kako ne bi ostali </w:t>
      </w:r>
      <w:r w:rsidR="00077829" w:rsidRPr="007B25B0">
        <w:rPr>
          <w:rFonts w:ascii="Arial" w:hAnsi="Arial" w:cs="Arial"/>
          <w:b/>
          <w:color w:val="000000" w:themeColor="text1"/>
          <w:lang w:val="bs-Latn-BA"/>
        </w:rPr>
        <w:t>“bez obaveza u vezi zaštite okoliša”</w:t>
      </w:r>
      <w:r w:rsidR="00077829" w:rsidRPr="007B25B0">
        <w:rPr>
          <w:rFonts w:ascii="Arial" w:hAnsi="Arial" w:cs="Arial"/>
          <w:color w:val="000000" w:themeColor="text1"/>
          <w:lang w:val="bs-Latn-BA"/>
        </w:rPr>
        <w:t xml:space="preserve">, a na što ih </w:t>
      </w:r>
      <w:r w:rsidR="007B25B0" w:rsidRPr="007B25B0">
        <w:rPr>
          <w:rFonts w:ascii="Arial" w:hAnsi="Arial" w:cs="Arial"/>
          <w:color w:val="000000" w:themeColor="text1"/>
          <w:lang w:val="bs-Latn-BA"/>
        </w:rPr>
        <w:t xml:space="preserve">je </w:t>
      </w:r>
      <w:r w:rsidR="00077829" w:rsidRPr="007B25B0">
        <w:rPr>
          <w:rFonts w:ascii="Arial" w:hAnsi="Arial" w:cs="Arial"/>
          <w:color w:val="000000" w:themeColor="text1"/>
          <w:lang w:val="bs-Latn-BA"/>
        </w:rPr>
        <w:t xml:space="preserve">moguće obavezati  jedino izdavanjem </w:t>
      </w:r>
      <w:r w:rsidR="003C236B" w:rsidRPr="007B25B0">
        <w:rPr>
          <w:rFonts w:ascii="Arial" w:hAnsi="Arial" w:cs="Arial"/>
          <w:color w:val="000000" w:themeColor="text1"/>
          <w:lang w:val="bs-Latn-BA"/>
        </w:rPr>
        <w:t>odgovarajućeg r</w:t>
      </w:r>
      <w:r w:rsidR="00077829" w:rsidRPr="007B25B0">
        <w:rPr>
          <w:rFonts w:ascii="Arial" w:hAnsi="Arial" w:cs="Arial"/>
          <w:color w:val="000000" w:themeColor="text1"/>
          <w:lang w:val="bs-Latn-BA"/>
        </w:rPr>
        <w:t>ješenja.</w:t>
      </w:r>
    </w:p>
    <w:p w14:paraId="69935465" w14:textId="01BA918B" w:rsidR="00E03F95" w:rsidRPr="007B25B0" w:rsidRDefault="00D26436" w:rsidP="00D26436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>Naime, s</w:t>
      </w:r>
      <w:r w:rsidR="00A14527" w:rsidRPr="007B25B0">
        <w:rPr>
          <w:rFonts w:ascii="Arial" w:hAnsi="Arial" w:cs="Arial"/>
          <w:color w:val="000000" w:themeColor="text1"/>
          <w:lang w:val="bs-Latn-BA"/>
        </w:rPr>
        <w:t xml:space="preserve">tupanjem na snagu novog </w:t>
      </w:r>
      <w:r w:rsidR="00A14527" w:rsidRPr="007B25B0">
        <w:rPr>
          <w:rFonts w:ascii="Arial" w:hAnsi="Arial" w:cs="Arial"/>
          <w:b/>
          <w:color w:val="000000" w:themeColor="text1"/>
          <w:lang w:val="bs-Latn-BA"/>
        </w:rPr>
        <w:t>Zakona</w:t>
      </w:r>
      <w:r w:rsidR="00C435A0" w:rsidRPr="007B25B0">
        <w:rPr>
          <w:rFonts w:ascii="Arial" w:hAnsi="Arial" w:cs="Arial"/>
          <w:b/>
          <w:color w:val="000000" w:themeColor="text1"/>
          <w:lang w:val="bs-Latn-BA"/>
        </w:rPr>
        <w:t xml:space="preserve"> o zaštiti okoliša</w:t>
      </w:r>
      <w:r w:rsidR="00C435A0" w:rsidRPr="007B25B0">
        <w:rPr>
          <w:rFonts w:ascii="Arial" w:hAnsi="Arial" w:cs="Arial"/>
          <w:color w:val="000000" w:themeColor="text1"/>
          <w:lang w:val="bs-Latn-BA"/>
        </w:rPr>
        <w:t xml:space="preserve"> i </w:t>
      </w:r>
      <w:r w:rsidR="00C435A0" w:rsidRPr="007B25B0">
        <w:rPr>
          <w:rFonts w:ascii="Arial" w:hAnsi="Arial" w:cs="Arial"/>
          <w:b/>
          <w:color w:val="000000" w:themeColor="text1"/>
          <w:lang w:val="bs-Latn-BA"/>
        </w:rPr>
        <w:t>Uredbe kojom se utvrđuju pogoni i postrojenja koja moraju imati okolinsku dozvolu</w:t>
      </w:r>
      <w:r w:rsidR="00C435A0" w:rsidRPr="007B25B0">
        <w:rPr>
          <w:rFonts w:ascii="Arial" w:hAnsi="Arial" w:cs="Arial"/>
          <w:color w:val="000000" w:themeColor="text1"/>
          <w:lang w:val="bs-Latn-BA"/>
        </w:rPr>
        <w:t xml:space="preserve">, </w:t>
      </w:r>
      <w:r w:rsidR="00A14527" w:rsidRPr="007B25B0">
        <w:rPr>
          <w:rFonts w:ascii="Arial" w:hAnsi="Arial" w:cs="Arial"/>
          <w:color w:val="000000" w:themeColor="text1"/>
          <w:lang w:val="bs-Latn-BA"/>
        </w:rPr>
        <w:t>Federalno ministarstvo okoliša i turizma je kao nadležni organ izvršilo usklađivanje propisa koji se odnose na izdavanje okolinske dozvole za pogone i postrojenja za Direktivom o industrijskim emisijama</w:t>
      </w:r>
      <w:r w:rsidRPr="007B25B0">
        <w:rPr>
          <w:rFonts w:ascii="Arial" w:hAnsi="Arial" w:cs="Arial"/>
          <w:color w:val="000000" w:themeColor="text1"/>
          <w:lang w:val="bs-Latn-BA"/>
        </w:rPr>
        <w:t xml:space="preserve"> EU</w:t>
      </w:r>
      <w:r w:rsidR="00A14527" w:rsidRPr="007B25B0">
        <w:rPr>
          <w:rFonts w:ascii="Arial" w:hAnsi="Arial" w:cs="Arial"/>
          <w:color w:val="000000" w:themeColor="text1"/>
          <w:lang w:val="bs-Latn-BA"/>
        </w:rPr>
        <w:t xml:space="preserve">. </w:t>
      </w:r>
      <w:r w:rsidR="00C435A0" w:rsidRPr="007B25B0">
        <w:rPr>
          <w:rFonts w:ascii="Arial" w:hAnsi="Arial" w:cs="Arial"/>
          <w:color w:val="000000" w:themeColor="text1"/>
          <w:lang w:val="bs-Latn-BA"/>
        </w:rPr>
        <w:t xml:space="preserve">Obzirom da su se po starom Zakonu o zaštiti okoliša  (“Službene novine Federacije BiH” broj 33/03 i 38/09- u daljem tekstu: stari Zakon) i Pravilniku o pogonima i postrojenjima za koje je obavezna procjena uticaja na okoliš i pogonima i postrojenjima koji mogu biti izrađeni i pušteni u rad samo ako imaju okolinsku dozvolu („Službene novine Federacije BiH“, broj: 19/04 i 1/21 - u daljem tekstu stari Pravilnik), izdavale okolinske dozvole </w:t>
      </w:r>
      <w:r w:rsidR="00C81F7C" w:rsidRPr="007B25B0">
        <w:rPr>
          <w:rFonts w:ascii="Arial" w:hAnsi="Arial" w:cs="Arial"/>
          <w:color w:val="000000" w:themeColor="text1"/>
          <w:lang w:val="bs-Latn-BA"/>
        </w:rPr>
        <w:t xml:space="preserve">pogonima i postrojenjima </w:t>
      </w:r>
      <w:r w:rsidR="00C435A0" w:rsidRPr="007B25B0">
        <w:rPr>
          <w:rFonts w:ascii="Arial" w:hAnsi="Arial" w:cs="Arial"/>
          <w:color w:val="000000" w:themeColor="text1"/>
          <w:lang w:val="bs-Latn-BA"/>
        </w:rPr>
        <w:t>od kojih nekima nakon naveden</w:t>
      </w:r>
      <w:r w:rsidR="00CE5B01" w:rsidRPr="007B25B0">
        <w:rPr>
          <w:rFonts w:ascii="Arial" w:hAnsi="Arial" w:cs="Arial"/>
          <w:color w:val="000000" w:themeColor="text1"/>
          <w:lang w:val="bs-Latn-BA"/>
        </w:rPr>
        <w:t>og usklađivanja sa Direktivo</w:t>
      </w:r>
      <w:r w:rsidR="00C435A0" w:rsidRPr="007B25B0">
        <w:rPr>
          <w:rFonts w:ascii="Arial" w:hAnsi="Arial" w:cs="Arial"/>
          <w:color w:val="000000" w:themeColor="text1"/>
          <w:lang w:val="bs-Latn-BA"/>
        </w:rPr>
        <w:t xml:space="preserve">m EU ista više nije potrebna. </w:t>
      </w:r>
      <w:r w:rsidR="003460D0" w:rsidRPr="007B25B0">
        <w:rPr>
          <w:rFonts w:ascii="Arial" w:hAnsi="Arial" w:cs="Arial"/>
          <w:color w:val="000000" w:themeColor="text1"/>
          <w:lang w:val="bs-Latn-BA"/>
        </w:rPr>
        <w:t>Odredbama člana 84. novog Z</w:t>
      </w:r>
      <w:r w:rsidR="00C435A0" w:rsidRPr="007B25B0">
        <w:rPr>
          <w:rFonts w:ascii="Arial" w:hAnsi="Arial" w:cs="Arial"/>
          <w:color w:val="000000" w:themeColor="text1"/>
          <w:lang w:val="bs-Latn-BA"/>
        </w:rPr>
        <w:t xml:space="preserve">akona o zaštiti okoliša je predviđeno da </w:t>
      </w:r>
      <w:r w:rsidR="00C435A0" w:rsidRPr="007B25B0">
        <w:rPr>
          <w:rFonts w:ascii="Arial" w:hAnsi="Arial" w:cs="Arial"/>
          <w:b/>
          <w:color w:val="000000" w:themeColor="text1"/>
          <w:lang w:val="bs-Latn-BA"/>
        </w:rPr>
        <w:t>opšte obaveze zaštite okoliša moraju ispuniti svi operateri pogona i postrojenja</w:t>
      </w:r>
      <w:r w:rsidR="00C435A0" w:rsidRPr="007B25B0">
        <w:rPr>
          <w:rFonts w:ascii="Arial" w:hAnsi="Arial" w:cs="Arial"/>
          <w:color w:val="000000" w:themeColor="text1"/>
          <w:lang w:val="bs-Latn-BA"/>
        </w:rPr>
        <w:t xml:space="preserve">, </w:t>
      </w:r>
      <w:r w:rsidR="00417B56" w:rsidRPr="007B25B0">
        <w:rPr>
          <w:rFonts w:ascii="Arial" w:hAnsi="Arial" w:cs="Arial"/>
          <w:color w:val="000000" w:themeColor="text1"/>
          <w:lang w:val="bs-Latn-BA"/>
        </w:rPr>
        <w:t>a onim operaterima i postrojenjima kojima se ne izdaje okolinska dozvola, ispunjavanje ovih opštih obaveza će se uzeti u obzir kod izdavanja drugih dozvola. Te druge dozvole podrazumijevaju akte prostornog uređenja i građenja, eksploatacije prirodnih resursa</w:t>
      </w:r>
      <w:r w:rsidR="00415879" w:rsidRPr="007B25B0">
        <w:rPr>
          <w:rFonts w:ascii="Arial" w:hAnsi="Arial" w:cs="Arial"/>
          <w:color w:val="000000" w:themeColor="text1"/>
          <w:lang w:val="bs-Latn-BA"/>
        </w:rPr>
        <w:t xml:space="preserve">, i sl. </w:t>
      </w:r>
      <w:r w:rsidR="000A1F45" w:rsidRPr="007B25B0">
        <w:rPr>
          <w:rFonts w:ascii="Arial" w:hAnsi="Arial" w:cs="Arial"/>
          <w:color w:val="000000" w:themeColor="text1"/>
          <w:lang w:val="bs-Latn-BA"/>
        </w:rPr>
        <w:t xml:space="preserve">Donošenjem ove dopune uredbe </w:t>
      </w:r>
      <w:r w:rsidR="00886F22" w:rsidRPr="007B25B0">
        <w:rPr>
          <w:rFonts w:ascii="Arial" w:hAnsi="Arial" w:cs="Arial"/>
          <w:color w:val="000000" w:themeColor="text1"/>
          <w:lang w:val="bs-Latn-BA"/>
        </w:rPr>
        <w:t>stavljaju se</w:t>
      </w:r>
      <w:r w:rsidR="000A1F45" w:rsidRPr="007B25B0">
        <w:rPr>
          <w:rFonts w:ascii="Arial" w:hAnsi="Arial" w:cs="Arial"/>
          <w:color w:val="000000" w:themeColor="text1"/>
          <w:lang w:val="bs-Latn-BA"/>
        </w:rPr>
        <w:t xml:space="preserve"> u ravnopravan položaj u vezi obaveza zaštite okoliša </w:t>
      </w:r>
      <w:r w:rsidR="00882F6E" w:rsidRPr="007B25B0">
        <w:rPr>
          <w:rFonts w:ascii="Arial" w:hAnsi="Arial" w:cs="Arial"/>
          <w:b/>
          <w:color w:val="000000" w:themeColor="text1"/>
          <w:lang w:val="bs-Latn-BA"/>
        </w:rPr>
        <w:t>novi</w:t>
      </w:r>
      <w:r w:rsidR="00E03F95" w:rsidRPr="007B25B0">
        <w:rPr>
          <w:rFonts w:ascii="Arial" w:hAnsi="Arial" w:cs="Arial"/>
          <w:b/>
          <w:color w:val="000000" w:themeColor="text1"/>
          <w:lang w:val="bs-Latn-BA"/>
        </w:rPr>
        <w:t xml:space="preserve"> (planirani)</w:t>
      </w:r>
      <w:r w:rsidR="00882F6E" w:rsidRPr="007B25B0">
        <w:rPr>
          <w:rFonts w:ascii="Arial" w:hAnsi="Arial" w:cs="Arial"/>
          <w:color w:val="000000" w:themeColor="text1"/>
          <w:lang w:val="bs-Latn-BA"/>
        </w:rPr>
        <w:t xml:space="preserve"> pogoni i postrojenja/skladišta/objekti</w:t>
      </w:r>
      <w:r w:rsidR="00886F22" w:rsidRPr="007B25B0">
        <w:rPr>
          <w:rFonts w:ascii="Arial" w:hAnsi="Arial" w:cs="Arial"/>
          <w:color w:val="000000" w:themeColor="text1"/>
          <w:lang w:val="bs-Latn-BA"/>
        </w:rPr>
        <w:t xml:space="preserve"> koji nisu u obavezi pribaviti okolišnu dozvolu </w:t>
      </w:r>
      <w:r w:rsidR="00E03F95" w:rsidRPr="007B25B0">
        <w:rPr>
          <w:rFonts w:ascii="Arial" w:hAnsi="Arial" w:cs="Arial"/>
          <w:color w:val="000000" w:themeColor="text1"/>
          <w:lang w:val="bs-Latn-BA"/>
        </w:rPr>
        <w:t>i kojima</w:t>
      </w:r>
      <w:r w:rsidR="00882F6E" w:rsidRPr="007B25B0">
        <w:rPr>
          <w:rFonts w:ascii="Arial" w:hAnsi="Arial" w:cs="Arial"/>
          <w:color w:val="000000" w:themeColor="text1"/>
          <w:lang w:val="bs-Latn-BA"/>
        </w:rPr>
        <w:t xml:space="preserve"> će se opće obaveze u vezi zaštite okoliša propisati kroz druge dozvole i </w:t>
      </w:r>
      <w:r w:rsidR="00E03F95" w:rsidRPr="007B25B0">
        <w:rPr>
          <w:rFonts w:ascii="Arial" w:hAnsi="Arial" w:cs="Arial"/>
          <w:b/>
          <w:color w:val="000000" w:themeColor="text1"/>
          <w:lang w:val="bs-Latn-BA"/>
        </w:rPr>
        <w:t>izgrađeni</w:t>
      </w:r>
      <w:r w:rsidR="00E03F95" w:rsidRPr="007B25B0">
        <w:rPr>
          <w:rFonts w:ascii="Arial" w:hAnsi="Arial" w:cs="Arial"/>
          <w:color w:val="000000" w:themeColor="text1"/>
          <w:lang w:val="bs-Latn-BA"/>
        </w:rPr>
        <w:t xml:space="preserve"> </w:t>
      </w:r>
      <w:r w:rsidR="00E03F95" w:rsidRPr="007B25B0">
        <w:rPr>
          <w:rFonts w:ascii="Arial" w:hAnsi="Arial" w:cs="Arial"/>
          <w:b/>
          <w:color w:val="000000" w:themeColor="text1"/>
          <w:lang w:val="bs-Latn-BA"/>
        </w:rPr>
        <w:t xml:space="preserve">(pušteni u rad) </w:t>
      </w:r>
      <w:r w:rsidR="00B3099C" w:rsidRPr="007B25B0">
        <w:rPr>
          <w:rFonts w:ascii="Arial" w:hAnsi="Arial" w:cs="Arial"/>
          <w:color w:val="000000" w:themeColor="text1"/>
          <w:lang w:val="bs-Latn-BA"/>
        </w:rPr>
        <w:t xml:space="preserve">pogoni i postrojenja, </w:t>
      </w:r>
      <w:r w:rsidR="00882F6E" w:rsidRPr="007B25B0">
        <w:rPr>
          <w:rFonts w:ascii="Arial" w:hAnsi="Arial" w:cs="Arial"/>
          <w:color w:val="000000" w:themeColor="text1"/>
          <w:lang w:val="bs-Latn-BA"/>
        </w:rPr>
        <w:t>skladi</w:t>
      </w:r>
      <w:r w:rsidR="00B3099C" w:rsidRPr="007B25B0">
        <w:rPr>
          <w:rFonts w:ascii="Arial" w:hAnsi="Arial" w:cs="Arial"/>
          <w:color w:val="000000" w:themeColor="text1"/>
          <w:lang w:val="bs-Latn-BA"/>
        </w:rPr>
        <w:t xml:space="preserve">šta i drugi </w:t>
      </w:r>
      <w:r w:rsidR="00882F6E" w:rsidRPr="007B25B0">
        <w:rPr>
          <w:rFonts w:ascii="Arial" w:hAnsi="Arial" w:cs="Arial"/>
          <w:color w:val="000000" w:themeColor="text1"/>
          <w:lang w:val="bs-Latn-BA"/>
        </w:rPr>
        <w:t>objekti</w:t>
      </w:r>
      <w:r w:rsidR="00E03F95" w:rsidRPr="007B25B0">
        <w:rPr>
          <w:rFonts w:ascii="Arial" w:hAnsi="Arial" w:cs="Arial"/>
          <w:color w:val="000000" w:themeColor="text1"/>
          <w:lang w:val="bs-Latn-BA"/>
        </w:rPr>
        <w:t>:</w:t>
      </w:r>
    </w:p>
    <w:p w14:paraId="2DB6C5AE" w14:textId="6DF0F73B" w:rsidR="00E03F95" w:rsidRPr="007B25B0" w:rsidRDefault="00E03F95" w:rsidP="00E03F9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 xml:space="preserve">koji </w:t>
      </w:r>
      <w:r w:rsidR="00886F22" w:rsidRPr="007B25B0">
        <w:rPr>
          <w:rFonts w:ascii="Arial" w:hAnsi="Arial" w:cs="Arial"/>
          <w:color w:val="000000" w:themeColor="text1"/>
          <w:lang w:val="bs-Latn-BA"/>
        </w:rPr>
        <w:t xml:space="preserve">su </w:t>
      </w:r>
      <w:r w:rsidRPr="007B25B0">
        <w:rPr>
          <w:rFonts w:ascii="Arial" w:hAnsi="Arial" w:cs="Arial"/>
          <w:color w:val="000000" w:themeColor="text1"/>
          <w:lang w:val="bs-Latn-BA"/>
        </w:rPr>
        <w:t>pribavili</w:t>
      </w:r>
      <w:r w:rsidR="00886F22" w:rsidRPr="007B25B0">
        <w:rPr>
          <w:rFonts w:ascii="Arial" w:hAnsi="Arial" w:cs="Arial"/>
          <w:color w:val="000000" w:themeColor="text1"/>
          <w:lang w:val="bs-Latn-BA"/>
        </w:rPr>
        <w:t xml:space="preserve"> okolišnu dozvola</w:t>
      </w:r>
      <w:r w:rsidRPr="007B25B0">
        <w:rPr>
          <w:rFonts w:ascii="Arial" w:hAnsi="Arial" w:cs="Arial"/>
          <w:color w:val="000000" w:themeColor="text1"/>
          <w:lang w:val="bs-Latn-BA"/>
        </w:rPr>
        <w:t xml:space="preserve"> u skladu sa starim Zakonom o zaštiti okoliša</w:t>
      </w:r>
      <w:r w:rsidR="00886F22" w:rsidRPr="007B25B0">
        <w:rPr>
          <w:rFonts w:ascii="Arial" w:hAnsi="Arial" w:cs="Arial"/>
          <w:color w:val="000000" w:themeColor="text1"/>
          <w:lang w:val="bs-Latn-BA"/>
        </w:rPr>
        <w:t xml:space="preserve"> čiji rok važenja</w:t>
      </w:r>
      <w:r w:rsidRPr="007B25B0">
        <w:rPr>
          <w:rFonts w:ascii="Arial" w:hAnsi="Arial" w:cs="Arial"/>
          <w:color w:val="000000" w:themeColor="text1"/>
          <w:lang w:val="bs-Latn-BA"/>
        </w:rPr>
        <w:t xml:space="preserve"> od 5 godina </w:t>
      </w:r>
      <w:r w:rsidR="00886F22" w:rsidRPr="007B25B0">
        <w:rPr>
          <w:rFonts w:ascii="Arial" w:hAnsi="Arial" w:cs="Arial"/>
          <w:color w:val="000000" w:themeColor="text1"/>
          <w:lang w:val="bs-Latn-BA"/>
        </w:rPr>
        <w:t>ističe,</w:t>
      </w:r>
      <w:r w:rsidRPr="007B25B0">
        <w:rPr>
          <w:rFonts w:ascii="Arial" w:hAnsi="Arial" w:cs="Arial"/>
          <w:color w:val="000000" w:themeColor="text1"/>
          <w:lang w:val="bs-Latn-BA"/>
        </w:rPr>
        <w:t xml:space="preserve"> </w:t>
      </w:r>
    </w:p>
    <w:p w14:paraId="451E37BB" w14:textId="2CB24EA7" w:rsidR="00E03F95" w:rsidRPr="007B25B0" w:rsidRDefault="00E03F95" w:rsidP="00E03F9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 xml:space="preserve">prema novim propisima nisu o obavezi </w:t>
      </w:r>
      <w:r w:rsidR="007B25B0" w:rsidRPr="007B25B0">
        <w:rPr>
          <w:rFonts w:ascii="Arial" w:hAnsi="Arial" w:cs="Arial"/>
          <w:color w:val="000000" w:themeColor="text1"/>
          <w:lang w:val="bs-Latn-BA"/>
        </w:rPr>
        <w:t>obnoviti</w:t>
      </w:r>
      <w:r w:rsidR="007B25B0" w:rsidRPr="007B25B0">
        <w:rPr>
          <w:rFonts w:ascii="Arial" w:hAnsi="Arial" w:cs="Arial"/>
          <w:color w:val="000000" w:themeColor="text1"/>
          <w:lang w:val="bs-Latn-BA"/>
        </w:rPr>
        <w:t xml:space="preserve"> </w:t>
      </w:r>
      <w:bookmarkStart w:id="14" w:name="_GoBack"/>
      <w:bookmarkEnd w:id="14"/>
      <w:r w:rsidRPr="007B25B0">
        <w:rPr>
          <w:rFonts w:ascii="Arial" w:hAnsi="Arial" w:cs="Arial"/>
          <w:color w:val="000000" w:themeColor="text1"/>
          <w:lang w:val="bs-Latn-BA"/>
        </w:rPr>
        <w:t>okolišnu dozvolu,</w:t>
      </w:r>
      <w:r w:rsidR="00886F22" w:rsidRPr="007B25B0">
        <w:rPr>
          <w:rFonts w:ascii="Arial" w:hAnsi="Arial" w:cs="Arial"/>
          <w:color w:val="000000" w:themeColor="text1"/>
          <w:lang w:val="bs-Latn-BA"/>
        </w:rPr>
        <w:t xml:space="preserve"> </w:t>
      </w:r>
    </w:p>
    <w:p w14:paraId="461ECBD4" w14:textId="53227390" w:rsidR="00415879" w:rsidRPr="007B25B0" w:rsidRDefault="00886F22" w:rsidP="00E03F9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 xml:space="preserve">opće obaveze </w:t>
      </w:r>
      <w:r w:rsidR="00E03F95" w:rsidRPr="007B25B0">
        <w:rPr>
          <w:rFonts w:ascii="Arial" w:hAnsi="Arial" w:cs="Arial"/>
          <w:color w:val="000000" w:themeColor="text1"/>
          <w:lang w:val="bs-Latn-BA"/>
        </w:rPr>
        <w:t xml:space="preserve">im </w:t>
      </w:r>
      <w:r w:rsidRPr="007B25B0">
        <w:rPr>
          <w:rFonts w:ascii="Arial" w:hAnsi="Arial" w:cs="Arial"/>
          <w:color w:val="000000" w:themeColor="text1"/>
          <w:lang w:val="bs-Latn-BA"/>
        </w:rPr>
        <w:t>nisu propisane važećim drugim dozvolama koje su pribavili ili je to uređeno parcijalno (npr. zaštita vode u vodnom aktu)</w:t>
      </w:r>
      <w:r w:rsidR="00882F6E" w:rsidRPr="007B25B0">
        <w:rPr>
          <w:rFonts w:ascii="Arial" w:hAnsi="Arial" w:cs="Arial"/>
          <w:color w:val="000000" w:themeColor="text1"/>
          <w:lang w:val="bs-Latn-BA"/>
        </w:rPr>
        <w:t xml:space="preserve">. </w:t>
      </w:r>
    </w:p>
    <w:p w14:paraId="467BA107" w14:textId="021AE816" w:rsidR="00807C1B" w:rsidRPr="007B25B0" w:rsidRDefault="00807C1B" w:rsidP="00A83E7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</w:p>
    <w:p w14:paraId="6BFCDA98" w14:textId="5E5AE710" w:rsidR="0034681B" w:rsidRPr="007B25B0" w:rsidRDefault="0034681B" w:rsidP="003468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7B25B0">
        <w:rPr>
          <w:rFonts w:ascii="Arial" w:hAnsi="Arial" w:cs="Arial"/>
          <w:b/>
          <w:color w:val="000000" w:themeColor="text1"/>
          <w:lang w:val="bs-Latn-BA"/>
        </w:rPr>
        <w:t>IV. OBRAZLOŽENJE PRAVNOG RJEŠENJA</w:t>
      </w:r>
    </w:p>
    <w:p w14:paraId="5D46461E" w14:textId="605F35BD" w:rsidR="0034681B" w:rsidRPr="007B25B0" w:rsidRDefault="0034681B" w:rsidP="0034681B">
      <w:pPr>
        <w:spacing w:after="0" w:line="36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14:paraId="6EE44B0C" w14:textId="6F49FB81" w:rsidR="00241C57" w:rsidRPr="007B25B0" w:rsidRDefault="0034681B" w:rsidP="00E351C1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>Prav</w:t>
      </w:r>
      <w:r w:rsidR="00E610D3" w:rsidRPr="007B25B0">
        <w:rPr>
          <w:rFonts w:ascii="Arial" w:hAnsi="Arial" w:cs="Arial"/>
          <w:color w:val="000000" w:themeColor="text1"/>
          <w:lang w:val="bs-Latn-BA"/>
        </w:rPr>
        <w:t xml:space="preserve">no rješenje pitanja koje je predmet dopune ove uredbe </w:t>
      </w:r>
      <w:r w:rsidRPr="007B25B0">
        <w:rPr>
          <w:rFonts w:ascii="Arial" w:hAnsi="Arial" w:cs="Arial"/>
          <w:color w:val="000000" w:themeColor="text1"/>
          <w:lang w:val="bs-Latn-BA"/>
        </w:rPr>
        <w:t>regulisano je u odredbi člana 1. ove ure</w:t>
      </w:r>
      <w:r w:rsidR="00AB7E25" w:rsidRPr="007B25B0">
        <w:rPr>
          <w:rFonts w:ascii="Arial" w:hAnsi="Arial" w:cs="Arial"/>
          <w:color w:val="000000" w:themeColor="text1"/>
          <w:lang w:val="bs-Latn-BA"/>
        </w:rPr>
        <w:t xml:space="preserve">dbe. U toj odredbi je predviđeno da se </w:t>
      </w:r>
      <w:r w:rsidR="003653A4" w:rsidRPr="007B25B0">
        <w:rPr>
          <w:rFonts w:ascii="Arial" w:hAnsi="Arial" w:cs="Arial"/>
          <w:color w:val="000000" w:themeColor="text1"/>
          <w:lang w:val="bs-Latn-BA"/>
        </w:rPr>
        <w:t xml:space="preserve">važećoj uredbi </w:t>
      </w:r>
      <w:r w:rsidR="008064E6" w:rsidRPr="007B25B0">
        <w:rPr>
          <w:rFonts w:ascii="Arial" w:hAnsi="Arial" w:cs="Arial"/>
          <w:color w:val="000000" w:themeColor="text1"/>
          <w:lang w:val="bs-Latn-BA"/>
        </w:rPr>
        <w:t xml:space="preserve">doda novi član, </w:t>
      </w:r>
      <w:r w:rsidR="004F5D59" w:rsidRPr="007B25B0">
        <w:rPr>
          <w:rFonts w:ascii="Arial" w:hAnsi="Arial" w:cs="Arial"/>
          <w:color w:val="000000" w:themeColor="text1"/>
          <w:lang w:val="bs-Latn-BA"/>
        </w:rPr>
        <w:t xml:space="preserve">što je izvršeno tako da je iza člana 12. </w:t>
      </w:r>
      <w:r w:rsidR="00AB7E25" w:rsidRPr="007B25B0">
        <w:rPr>
          <w:rFonts w:ascii="Arial" w:hAnsi="Arial" w:cs="Arial"/>
          <w:color w:val="000000" w:themeColor="text1"/>
          <w:lang w:val="bs-Latn-BA"/>
        </w:rPr>
        <w:t>doda</w:t>
      </w:r>
      <w:r w:rsidR="004F5D59" w:rsidRPr="007B25B0">
        <w:rPr>
          <w:rFonts w:ascii="Arial" w:hAnsi="Arial" w:cs="Arial"/>
          <w:color w:val="000000" w:themeColor="text1"/>
          <w:lang w:val="bs-Latn-BA"/>
        </w:rPr>
        <w:t>t</w:t>
      </w:r>
      <w:r w:rsidR="00AB7E25" w:rsidRPr="007B25B0">
        <w:rPr>
          <w:rFonts w:ascii="Arial" w:hAnsi="Arial" w:cs="Arial"/>
          <w:color w:val="000000" w:themeColor="text1"/>
          <w:lang w:val="bs-Latn-BA"/>
        </w:rPr>
        <w:t xml:space="preserve"> </w:t>
      </w:r>
      <w:r w:rsidR="003653A4" w:rsidRPr="007B25B0">
        <w:rPr>
          <w:rFonts w:ascii="Arial" w:hAnsi="Arial" w:cs="Arial"/>
          <w:color w:val="000000" w:themeColor="text1"/>
          <w:lang w:val="bs-Latn-BA"/>
        </w:rPr>
        <w:t xml:space="preserve">novi </w:t>
      </w:r>
      <w:r w:rsidRPr="007B25B0">
        <w:rPr>
          <w:rFonts w:ascii="Arial" w:hAnsi="Arial" w:cs="Arial"/>
          <w:color w:val="000000" w:themeColor="text1"/>
          <w:lang w:val="bs-Latn-BA"/>
        </w:rPr>
        <w:t>član</w:t>
      </w:r>
      <w:r w:rsidR="00AB7E25" w:rsidRPr="007B25B0">
        <w:rPr>
          <w:rFonts w:ascii="Arial" w:hAnsi="Arial" w:cs="Arial"/>
          <w:color w:val="000000" w:themeColor="text1"/>
          <w:lang w:val="bs-Latn-BA"/>
        </w:rPr>
        <w:t xml:space="preserve"> 12a</w:t>
      </w:r>
      <w:r w:rsidRPr="007B25B0">
        <w:rPr>
          <w:rFonts w:ascii="Arial" w:hAnsi="Arial" w:cs="Arial"/>
          <w:color w:val="000000" w:themeColor="text1"/>
          <w:lang w:val="bs-Latn-BA"/>
        </w:rPr>
        <w:t>. Prema toj</w:t>
      </w:r>
      <w:r w:rsidR="00B50CE2" w:rsidRPr="007B25B0">
        <w:rPr>
          <w:rFonts w:ascii="Arial" w:hAnsi="Arial" w:cs="Arial"/>
          <w:color w:val="000000" w:themeColor="text1"/>
          <w:lang w:val="bs-Latn-BA"/>
        </w:rPr>
        <w:t xml:space="preserve"> odredbi je predviđeno da će se </w:t>
      </w:r>
      <w:r w:rsidRPr="007B25B0">
        <w:rPr>
          <w:rFonts w:ascii="Arial" w:hAnsi="Arial" w:cs="Arial"/>
          <w:color w:val="000000" w:themeColor="text1"/>
          <w:lang w:val="bs-Latn-BA"/>
        </w:rPr>
        <w:t>opšte mjere zaštite okoliša iz člana 84. stav 1. Zakona o zaštiti okoliša, za pogone i postrojenja koji</w:t>
      </w:r>
      <w:r w:rsidR="00B50CE2" w:rsidRPr="007B25B0">
        <w:rPr>
          <w:rFonts w:ascii="Arial" w:hAnsi="Arial" w:cs="Arial"/>
          <w:color w:val="000000" w:themeColor="text1"/>
          <w:lang w:val="bs-Latn-BA"/>
        </w:rPr>
        <w:t xml:space="preserve">ma se </w:t>
      </w:r>
      <w:r w:rsidR="00B50CE2" w:rsidRPr="007B25B0">
        <w:rPr>
          <w:rFonts w:ascii="Arial" w:hAnsi="Arial" w:cs="Arial"/>
          <w:color w:val="000000" w:themeColor="text1"/>
          <w:lang w:val="bs-Latn-BA"/>
        </w:rPr>
        <w:lastRenderedPageBreak/>
        <w:t xml:space="preserve">prema novom zakonodavstu više </w:t>
      </w:r>
      <w:r w:rsidRPr="007B25B0">
        <w:rPr>
          <w:rFonts w:ascii="Arial" w:hAnsi="Arial" w:cs="Arial"/>
          <w:color w:val="000000" w:themeColor="text1"/>
          <w:lang w:val="bs-Latn-BA"/>
        </w:rPr>
        <w:t xml:space="preserve">ne izdaje okolinska dozvola, utvrđivati u rješenju ministarstva kojim se rješava </w:t>
      </w:r>
      <w:r w:rsidR="00241C57" w:rsidRPr="007B25B0">
        <w:rPr>
          <w:rFonts w:ascii="Arial" w:hAnsi="Arial" w:cs="Arial"/>
          <w:color w:val="000000" w:themeColor="text1"/>
          <w:lang w:val="bs-Latn-BA"/>
        </w:rPr>
        <w:t>u postupku izdavanja</w:t>
      </w:r>
      <w:r w:rsidRPr="007B25B0">
        <w:rPr>
          <w:rFonts w:ascii="Arial" w:hAnsi="Arial" w:cs="Arial"/>
          <w:color w:val="000000" w:themeColor="text1"/>
          <w:lang w:val="bs-Latn-BA"/>
        </w:rPr>
        <w:t xml:space="preserve"> okolinske dozvole</w:t>
      </w:r>
      <w:r w:rsidR="00B50CE2" w:rsidRPr="007B25B0">
        <w:rPr>
          <w:rFonts w:ascii="Arial" w:hAnsi="Arial" w:cs="Arial"/>
          <w:color w:val="000000" w:themeColor="text1"/>
          <w:lang w:val="bs-Latn-BA"/>
        </w:rPr>
        <w:t xml:space="preserve"> kada se radi o zahtjevima za obnovu okolinske dozvole. </w:t>
      </w:r>
      <w:r w:rsidR="00550DC3" w:rsidRPr="007B25B0">
        <w:rPr>
          <w:rFonts w:ascii="Arial" w:hAnsi="Arial" w:cs="Arial"/>
          <w:color w:val="000000" w:themeColor="text1"/>
          <w:lang w:val="bs-Latn-BA"/>
        </w:rPr>
        <w:t>Ovim članom precizirano je na koje pogone i postrojenja se treba primijeniti član 12a., kao i minimalni s</w:t>
      </w:r>
      <w:r w:rsidR="00D00CA4" w:rsidRPr="007B25B0">
        <w:rPr>
          <w:rFonts w:ascii="Arial" w:hAnsi="Arial" w:cs="Arial"/>
          <w:color w:val="000000" w:themeColor="text1"/>
          <w:lang w:val="bs-Latn-BA"/>
        </w:rPr>
        <w:t>adržaj zahtjeva za obnovu okoli</w:t>
      </w:r>
      <w:r w:rsidR="00550DC3" w:rsidRPr="007B25B0">
        <w:rPr>
          <w:rFonts w:ascii="Arial" w:hAnsi="Arial" w:cs="Arial"/>
          <w:color w:val="000000" w:themeColor="text1"/>
          <w:lang w:val="bs-Latn-BA"/>
        </w:rPr>
        <w:t>n</w:t>
      </w:r>
      <w:r w:rsidR="00D00CA4" w:rsidRPr="007B25B0">
        <w:rPr>
          <w:rFonts w:ascii="Arial" w:hAnsi="Arial" w:cs="Arial"/>
          <w:color w:val="000000" w:themeColor="text1"/>
          <w:lang w:val="bs-Latn-BA"/>
        </w:rPr>
        <w:t>s</w:t>
      </w:r>
      <w:r w:rsidR="00550DC3" w:rsidRPr="007B25B0">
        <w:rPr>
          <w:rFonts w:ascii="Arial" w:hAnsi="Arial" w:cs="Arial"/>
          <w:color w:val="000000" w:themeColor="text1"/>
          <w:lang w:val="bs-Latn-BA"/>
        </w:rPr>
        <w:t xml:space="preserve">ke dozvole u ovom slučaju.  Opšte obaveze </w:t>
      </w:r>
      <w:r w:rsidRPr="007B25B0">
        <w:rPr>
          <w:rFonts w:ascii="Arial" w:hAnsi="Arial" w:cs="Arial"/>
          <w:color w:val="000000" w:themeColor="text1"/>
          <w:lang w:val="bs-Latn-BA"/>
        </w:rPr>
        <w:t>zaštite će se utvrđivati prema navede</w:t>
      </w:r>
      <w:r w:rsidR="00E41AA4" w:rsidRPr="007B25B0">
        <w:rPr>
          <w:rFonts w:ascii="Arial" w:hAnsi="Arial" w:cs="Arial"/>
          <w:color w:val="000000" w:themeColor="text1"/>
          <w:lang w:val="bs-Latn-BA"/>
        </w:rPr>
        <w:t>noj zakonskoj odredbi i to obaveze</w:t>
      </w:r>
      <w:r w:rsidRPr="007B25B0">
        <w:rPr>
          <w:rFonts w:ascii="Arial" w:hAnsi="Arial" w:cs="Arial"/>
          <w:color w:val="000000" w:themeColor="text1"/>
          <w:lang w:val="bs-Latn-BA"/>
        </w:rPr>
        <w:t xml:space="preserve"> koje </w:t>
      </w:r>
      <w:r w:rsidR="00C84BC8" w:rsidRPr="007B25B0">
        <w:rPr>
          <w:rFonts w:ascii="Arial" w:hAnsi="Arial" w:cs="Arial"/>
          <w:color w:val="000000" w:themeColor="text1"/>
          <w:lang w:val="bs-Latn-BA"/>
        </w:rPr>
        <w:t>zavise od vrste</w:t>
      </w:r>
      <w:r w:rsidRPr="007B25B0">
        <w:rPr>
          <w:rFonts w:ascii="Arial" w:hAnsi="Arial" w:cs="Arial"/>
          <w:color w:val="000000" w:themeColor="text1"/>
          <w:lang w:val="bs-Latn-BA"/>
        </w:rPr>
        <w:t xml:space="preserve"> djelatnosti pogona i postrojenja. </w:t>
      </w:r>
    </w:p>
    <w:p w14:paraId="3F9D8733" w14:textId="0442711D" w:rsidR="0034681B" w:rsidRPr="007B25B0" w:rsidRDefault="0034681B" w:rsidP="00B50CE2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>Time se u cjelini pravno reguliše navedeno pitanje.</w:t>
      </w:r>
    </w:p>
    <w:p w14:paraId="7A0BBA91" w14:textId="0BEA5660" w:rsidR="001B48C7" w:rsidRPr="007B25B0" w:rsidRDefault="001B48C7" w:rsidP="00E03F95">
      <w:pPr>
        <w:spacing w:after="0" w:line="360" w:lineRule="auto"/>
        <w:jc w:val="both"/>
        <w:rPr>
          <w:rFonts w:ascii="Arial" w:hAnsi="Arial" w:cs="Arial"/>
          <w:color w:val="000000" w:themeColor="text1"/>
          <w:lang w:val="bs-Latn-BA"/>
        </w:rPr>
      </w:pPr>
    </w:p>
    <w:p w14:paraId="5F88090A" w14:textId="1A6C3B8F" w:rsidR="0027221C" w:rsidRPr="007B25B0" w:rsidRDefault="0027221C" w:rsidP="0027221C">
      <w:pPr>
        <w:spacing w:after="20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</w:pPr>
      <w:r w:rsidRPr="007B25B0"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  <w:t>V. JAVNE KONSULTACIJE</w:t>
      </w:r>
    </w:p>
    <w:p w14:paraId="3FA1D929" w14:textId="00CFBBA0" w:rsidR="0034681B" w:rsidRPr="007B25B0" w:rsidRDefault="0034681B" w:rsidP="00D712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</w:p>
    <w:p w14:paraId="4D3586E8" w14:textId="7CD9B0EB" w:rsidR="0027221C" w:rsidRPr="007B25B0" w:rsidRDefault="0027221C" w:rsidP="00272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7B25B0">
        <w:rPr>
          <w:rFonts w:ascii="Arial" w:hAnsi="Arial" w:cs="Arial"/>
          <w:b/>
          <w:color w:val="000000" w:themeColor="text1"/>
          <w:lang w:val="bs-Latn-BA"/>
        </w:rPr>
        <w:t>VI. MIŠLJENJA NADLEŽNIH ORGANA</w:t>
      </w:r>
    </w:p>
    <w:p w14:paraId="2F955C34" w14:textId="77777777" w:rsidR="0027221C" w:rsidRPr="007B25B0" w:rsidRDefault="0027221C" w:rsidP="002722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</w:p>
    <w:p w14:paraId="372DBE92" w14:textId="7556AEE9" w:rsidR="0027221C" w:rsidRPr="007B25B0" w:rsidRDefault="0027221C" w:rsidP="002E51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lang w:val="bs-Latn-BA"/>
        </w:rPr>
      </w:pPr>
      <w:r w:rsidRPr="007B25B0">
        <w:rPr>
          <w:rFonts w:ascii="Arial" w:hAnsi="Arial" w:cs="Arial"/>
          <w:b/>
          <w:color w:val="000000" w:themeColor="text1"/>
          <w:lang w:val="bs-Latn-BA"/>
        </w:rPr>
        <w:t>VI. FINANSIJSKA SREDSTVA POTREBNA ZA PROVEDBU PROPISA</w:t>
      </w:r>
    </w:p>
    <w:p w14:paraId="01DD5785" w14:textId="1DA3FD01" w:rsidR="000E2431" w:rsidRPr="007B25B0" w:rsidRDefault="000E2431" w:rsidP="0027221C">
      <w:pPr>
        <w:spacing w:line="360" w:lineRule="auto"/>
        <w:jc w:val="both"/>
        <w:rPr>
          <w:rFonts w:ascii="Arial" w:hAnsi="Arial" w:cs="Arial"/>
          <w:color w:val="000000" w:themeColor="text1"/>
          <w:lang w:val="bs-Latn-BA"/>
        </w:rPr>
      </w:pPr>
      <w:r w:rsidRPr="007B25B0">
        <w:rPr>
          <w:rFonts w:ascii="Arial" w:hAnsi="Arial" w:cs="Arial"/>
          <w:color w:val="000000" w:themeColor="text1"/>
          <w:lang w:val="bs-Latn-BA"/>
        </w:rPr>
        <w:t>Za sprovođenje ove uredbe nisu potrebna posebna finansijska sredstva u Budžetu Federacije BiH i budžetima kantona.</w:t>
      </w:r>
    </w:p>
    <w:p w14:paraId="20EE2130" w14:textId="77777777" w:rsidR="00524C45" w:rsidRPr="007B25B0" w:rsidRDefault="00524C45" w:rsidP="00524C45">
      <w:pPr>
        <w:spacing w:line="360" w:lineRule="auto"/>
        <w:rPr>
          <w:rFonts w:ascii="Arial" w:hAnsi="Arial" w:cs="Arial"/>
          <w:color w:val="000000" w:themeColor="text1"/>
          <w:lang w:val="bs-Latn-BA"/>
        </w:rPr>
      </w:pPr>
    </w:p>
    <w:sectPr w:rsidR="00524C45" w:rsidRPr="007B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37A"/>
    <w:multiLevelType w:val="hybridMultilevel"/>
    <w:tmpl w:val="1DC0AEC8"/>
    <w:lvl w:ilvl="0" w:tplc="59BE69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A420F"/>
    <w:multiLevelType w:val="multilevel"/>
    <w:tmpl w:val="F010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21651"/>
    <w:multiLevelType w:val="hybridMultilevel"/>
    <w:tmpl w:val="6CFEE054"/>
    <w:lvl w:ilvl="0" w:tplc="637610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3606E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D09084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664E"/>
    <w:multiLevelType w:val="hybridMultilevel"/>
    <w:tmpl w:val="423A00B0"/>
    <w:lvl w:ilvl="0" w:tplc="B16644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77A4D"/>
    <w:multiLevelType w:val="hybridMultilevel"/>
    <w:tmpl w:val="7944C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1B07"/>
    <w:multiLevelType w:val="hybridMultilevel"/>
    <w:tmpl w:val="30E8C518"/>
    <w:lvl w:ilvl="0" w:tplc="3998E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23CBA"/>
    <w:multiLevelType w:val="hybridMultilevel"/>
    <w:tmpl w:val="366E9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B53B2"/>
    <w:multiLevelType w:val="hybridMultilevel"/>
    <w:tmpl w:val="8968D4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9579B"/>
    <w:multiLevelType w:val="hybridMultilevel"/>
    <w:tmpl w:val="41641550"/>
    <w:lvl w:ilvl="0" w:tplc="7972B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7F2C11"/>
    <w:multiLevelType w:val="hybridMultilevel"/>
    <w:tmpl w:val="F04AE52C"/>
    <w:lvl w:ilvl="0" w:tplc="59BE694C">
      <w:start w:val="1"/>
      <w:numFmt w:val="decimal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734DA"/>
    <w:multiLevelType w:val="hybridMultilevel"/>
    <w:tmpl w:val="A582FD54"/>
    <w:lvl w:ilvl="0" w:tplc="637610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52A1E"/>
    <w:multiLevelType w:val="hybridMultilevel"/>
    <w:tmpl w:val="99DE617E"/>
    <w:lvl w:ilvl="0" w:tplc="5832D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70"/>
    <w:rsid w:val="00004298"/>
    <w:rsid w:val="000172AD"/>
    <w:rsid w:val="00042253"/>
    <w:rsid w:val="00043B06"/>
    <w:rsid w:val="00077829"/>
    <w:rsid w:val="00085E96"/>
    <w:rsid w:val="00086602"/>
    <w:rsid w:val="000A1F45"/>
    <w:rsid w:val="000B1048"/>
    <w:rsid w:val="000B3A24"/>
    <w:rsid w:val="000B4DB5"/>
    <w:rsid w:val="000C09BF"/>
    <w:rsid w:val="000E2431"/>
    <w:rsid w:val="000F5478"/>
    <w:rsid w:val="00104638"/>
    <w:rsid w:val="001212BF"/>
    <w:rsid w:val="00134EDC"/>
    <w:rsid w:val="00155D63"/>
    <w:rsid w:val="00160F9B"/>
    <w:rsid w:val="00177A09"/>
    <w:rsid w:val="00184B0E"/>
    <w:rsid w:val="001B48C7"/>
    <w:rsid w:val="001C43FC"/>
    <w:rsid w:val="001E40CC"/>
    <w:rsid w:val="001F0299"/>
    <w:rsid w:val="001F19FF"/>
    <w:rsid w:val="001F4EB0"/>
    <w:rsid w:val="002168FF"/>
    <w:rsid w:val="00237D0A"/>
    <w:rsid w:val="00241C57"/>
    <w:rsid w:val="00266469"/>
    <w:rsid w:val="002711D2"/>
    <w:rsid w:val="0027221C"/>
    <w:rsid w:val="0028256F"/>
    <w:rsid w:val="00286BF1"/>
    <w:rsid w:val="0029191E"/>
    <w:rsid w:val="00295CFD"/>
    <w:rsid w:val="002968DD"/>
    <w:rsid w:val="002A24BC"/>
    <w:rsid w:val="002A4256"/>
    <w:rsid w:val="002B2D32"/>
    <w:rsid w:val="002D1734"/>
    <w:rsid w:val="002D5A26"/>
    <w:rsid w:val="002E2CB0"/>
    <w:rsid w:val="002E3653"/>
    <w:rsid w:val="002E51F3"/>
    <w:rsid w:val="002E5956"/>
    <w:rsid w:val="002F511B"/>
    <w:rsid w:val="00301608"/>
    <w:rsid w:val="0032663B"/>
    <w:rsid w:val="00336F5D"/>
    <w:rsid w:val="003460D0"/>
    <w:rsid w:val="0034681B"/>
    <w:rsid w:val="003530D1"/>
    <w:rsid w:val="003653A4"/>
    <w:rsid w:val="00380CAD"/>
    <w:rsid w:val="00387BE4"/>
    <w:rsid w:val="00394198"/>
    <w:rsid w:val="003A184D"/>
    <w:rsid w:val="003B112E"/>
    <w:rsid w:val="003B1836"/>
    <w:rsid w:val="003C236B"/>
    <w:rsid w:val="003E4872"/>
    <w:rsid w:val="004056B2"/>
    <w:rsid w:val="0040757A"/>
    <w:rsid w:val="00412B42"/>
    <w:rsid w:val="00415879"/>
    <w:rsid w:val="00417B56"/>
    <w:rsid w:val="00417BC9"/>
    <w:rsid w:val="004365D1"/>
    <w:rsid w:val="00436F03"/>
    <w:rsid w:val="0045463F"/>
    <w:rsid w:val="004727E6"/>
    <w:rsid w:val="00472FCB"/>
    <w:rsid w:val="0047391F"/>
    <w:rsid w:val="0048098E"/>
    <w:rsid w:val="004A007C"/>
    <w:rsid w:val="004A1436"/>
    <w:rsid w:val="004C0767"/>
    <w:rsid w:val="004D751C"/>
    <w:rsid w:val="004E3C50"/>
    <w:rsid w:val="004F05D2"/>
    <w:rsid w:val="004F1945"/>
    <w:rsid w:val="004F5D59"/>
    <w:rsid w:val="004F6068"/>
    <w:rsid w:val="00500DCB"/>
    <w:rsid w:val="005114ED"/>
    <w:rsid w:val="005146B1"/>
    <w:rsid w:val="005162A6"/>
    <w:rsid w:val="00524C45"/>
    <w:rsid w:val="0052594B"/>
    <w:rsid w:val="005269A5"/>
    <w:rsid w:val="0053276B"/>
    <w:rsid w:val="00550DC3"/>
    <w:rsid w:val="00562C01"/>
    <w:rsid w:val="0056428C"/>
    <w:rsid w:val="00564D0B"/>
    <w:rsid w:val="005704A7"/>
    <w:rsid w:val="005742C4"/>
    <w:rsid w:val="00586BBE"/>
    <w:rsid w:val="005A2107"/>
    <w:rsid w:val="005D018F"/>
    <w:rsid w:val="005D229D"/>
    <w:rsid w:val="005D4189"/>
    <w:rsid w:val="005D6A6E"/>
    <w:rsid w:val="005E2210"/>
    <w:rsid w:val="005E38C9"/>
    <w:rsid w:val="005E501D"/>
    <w:rsid w:val="005F5F22"/>
    <w:rsid w:val="0062480C"/>
    <w:rsid w:val="006343B7"/>
    <w:rsid w:val="00654D08"/>
    <w:rsid w:val="006608AA"/>
    <w:rsid w:val="00673A8B"/>
    <w:rsid w:val="00675276"/>
    <w:rsid w:val="006817AE"/>
    <w:rsid w:val="006C1867"/>
    <w:rsid w:val="006D58E3"/>
    <w:rsid w:val="006D60DF"/>
    <w:rsid w:val="006F493C"/>
    <w:rsid w:val="00704B70"/>
    <w:rsid w:val="0070791E"/>
    <w:rsid w:val="00712E69"/>
    <w:rsid w:val="007202EF"/>
    <w:rsid w:val="00730CEF"/>
    <w:rsid w:val="00732918"/>
    <w:rsid w:val="007453BB"/>
    <w:rsid w:val="00753C31"/>
    <w:rsid w:val="007679FB"/>
    <w:rsid w:val="00780482"/>
    <w:rsid w:val="007A0C1D"/>
    <w:rsid w:val="007A4456"/>
    <w:rsid w:val="007B25B0"/>
    <w:rsid w:val="007C45A1"/>
    <w:rsid w:val="007C52D0"/>
    <w:rsid w:val="007D391A"/>
    <w:rsid w:val="007D5E3D"/>
    <w:rsid w:val="007E17B9"/>
    <w:rsid w:val="007F1653"/>
    <w:rsid w:val="008006E3"/>
    <w:rsid w:val="008064E6"/>
    <w:rsid w:val="00807C1B"/>
    <w:rsid w:val="00825265"/>
    <w:rsid w:val="008272DC"/>
    <w:rsid w:val="00832459"/>
    <w:rsid w:val="00851C22"/>
    <w:rsid w:val="0085540B"/>
    <w:rsid w:val="00857FCE"/>
    <w:rsid w:val="00861130"/>
    <w:rsid w:val="00882C3E"/>
    <w:rsid w:val="00882F6E"/>
    <w:rsid w:val="00884086"/>
    <w:rsid w:val="00886F22"/>
    <w:rsid w:val="008A1382"/>
    <w:rsid w:val="008D0AAF"/>
    <w:rsid w:val="008E78C2"/>
    <w:rsid w:val="008F0AD1"/>
    <w:rsid w:val="008F29C2"/>
    <w:rsid w:val="008F48AF"/>
    <w:rsid w:val="008F7AA8"/>
    <w:rsid w:val="00924B2A"/>
    <w:rsid w:val="009350FE"/>
    <w:rsid w:val="00944B8B"/>
    <w:rsid w:val="0097531F"/>
    <w:rsid w:val="009838F2"/>
    <w:rsid w:val="009841BA"/>
    <w:rsid w:val="009C3A33"/>
    <w:rsid w:val="009E126B"/>
    <w:rsid w:val="00A0057E"/>
    <w:rsid w:val="00A07ADA"/>
    <w:rsid w:val="00A14527"/>
    <w:rsid w:val="00A21620"/>
    <w:rsid w:val="00A51440"/>
    <w:rsid w:val="00A7057B"/>
    <w:rsid w:val="00A717F7"/>
    <w:rsid w:val="00A7676D"/>
    <w:rsid w:val="00A83E73"/>
    <w:rsid w:val="00A8791B"/>
    <w:rsid w:val="00A91103"/>
    <w:rsid w:val="00A92996"/>
    <w:rsid w:val="00A95E2D"/>
    <w:rsid w:val="00AB7E25"/>
    <w:rsid w:val="00AC72A2"/>
    <w:rsid w:val="00AE59F4"/>
    <w:rsid w:val="00AF5E8C"/>
    <w:rsid w:val="00B132C7"/>
    <w:rsid w:val="00B3099C"/>
    <w:rsid w:val="00B32BD6"/>
    <w:rsid w:val="00B37E73"/>
    <w:rsid w:val="00B42DD2"/>
    <w:rsid w:val="00B43605"/>
    <w:rsid w:val="00B449D2"/>
    <w:rsid w:val="00B50CE2"/>
    <w:rsid w:val="00B54AEA"/>
    <w:rsid w:val="00B84842"/>
    <w:rsid w:val="00B9787D"/>
    <w:rsid w:val="00BA1773"/>
    <w:rsid w:val="00BA6991"/>
    <w:rsid w:val="00BB0F39"/>
    <w:rsid w:val="00BC1832"/>
    <w:rsid w:val="00BD4AE0"/>
    <w:rsid w:val="00C016D3"/>
    <w:rsid w:val="00C06C5F"/>
    <w:rsid w:val="00C31EFA"/>
    <w:rsid w:val="00C40EEA"/>
    <w:rsid w:val="00C435A0"/>
    <w:rsid w:val="00C47BA0"/>
    <w:rsid w:val="00C52097"/>
    <w:rsid w:val="00C81F7C"/>
    <w:rsid w:val="00C84B36"/>
    <w:rsid w:val="00C84BC8"/>
    <w:rsid w:val="00CA2620"/>
    <w:rsid w:val="00CA5925"/>
    <w:rsid w:val="00CB6472"/>
    <w:rsid w:val="00CD1872"/>
    <w:rsid w:val="00CD5635"/>
    <w:rsid w:val="00CE3239"/>
    <w:rsid w:val="00CE4D2C"/>
    <w:rsid w:val="00CE5B01"/>
    <w:rsid w:val="00D00CA4"/>
    <w:rsid w:val="00D02D95"/>
    <w:rsid w:val="00D06D56"/>
    <w:rsid w:val="00D26436"/>
    <w:rsid w:val="00D61E59"/>
    <w:rsid w:val="00D64286"/>
    <w:rsid w:val="00D71272"/>
    <w:rsid w:val="00D72A89"/>
    <w:rsid w:val="00D74AE2"/>
    <w:rsid w:val="00D976E4"/>
    <w:rsid w:val="00DA7AB9"/>
    <w:rsid w:val="00DC37B7"/>
    <w:rsid w:val="00DE4041"/>
    <w:rsid w:val="00DE509D"/>
    <w:rsid w:val="00DE6853"/>
    <w:rsid w:val="00DE6A82"/>
    <w:rsid w:val="00DF11D8"/>
    <w:rsid w:val="00DF1F0B"/>
    <w:rsid w:val="00E02012"/>
    <w:rsid w:val="00E03F95"/>
    <w:rsid w:val="00E351C1"/>
    <w:rsid w:val="00E41AA4"/>
    <w:rsid w:val="00E4774E"/>
    <w:rsid w:val="00E610D3"/>
    <w:rsid w:val="00E65951"/>
    <w:rsid w:val="00E81289"/>
    <w:rsid w:val="00E85A60"/>
    <w:rsid w:val="00E979D1"/>
    <w:rsid w:val="00EA51F4"/>
    <w:rsid w:val="00EC0F0E"/>
    <w:rsid w:val="00EC6DA6"/>
    <w:rsid w:val="00ED1598"/>
    <w:rsid w:val="00EE3CCD"/>
    <w:rsid w:val="00EE578B"/>
    <w:rsid w:val="00EF114E"/>
    <w:rsid w:val="00EF1889"/>
    <w:rsid w:val="00F00FFC"/>
    <w:rsid w:val="00F1102C"/>
    <w:rsid w:val="00F111B1"/>
    <w:rsid w:val="00F36814"/>
    <w:rsid w:val="00F409D0"/>
    <w:rsid w:val="00F4364C"/>
    <w:rsid w:val="00F6183A"/>
    <w:rsid w:val="00F70D5B"/>
    <w:rsid w:val="00F80B0D"/>
    <w:rsid w:val="00F90269"/>
    <w:rsid w:val="00F94C3A"/>
    <w:rsid w:val="00FA2029"/>
    <w:rsid w:val="00FA6BD7"/>
    <w:rsid w:val="00FB0562"/>
    <w:rsid w:val="00FE0039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A74E"/>
  <w15:chartTrackingRefBased/>
  <w15:docId w15:val="{8608A448-8E82-41D2-9FE8-524B1CA1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70"/>
  </w:style>
  <w:style w:type="paragraph" w:styleId="Heading1">
    <w:name w:val="heading 1"/>
    <w:basedOn w:val="Normal"/>
    <w:next w:val="Normal"/>
    <w:link w:val="Heading1Char"/>
    <w:qFormat/>
    <w:rsid w:val="00704B7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B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Strong">
    <w:name w:val="Strong"/>
    <w:basedOn w:val="DefaultParagraphFont"/>
    <w:uiPriority w:val="22"/>
    <w:qFormat/>
    <w:rsid w:val="00704B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4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B70"/>
    <w:pPr>
      <w:ind w:left="720"/>
      <w:contextualSpacing/>
    </w:pPr>
  </w:style>
  <w:style w:type="paragraph" w:styleId="NoSpacing">
    <w:name w:val="No Spacing"/>
    <w:uiPriority w:val="1"/>
    <w:qFormat/>
    <w:rsid w:val="00704B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1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9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1DF2-22A4-405E-8C26-BD66E847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Đugum</dc:creator>
  <cp:keywords/>
  <dc:description/>
  <cp:lastModifiedBy>Suada</cp:lastModifiedBy>
  <cp:revision>3</cp:revision>
  <cp:lastPrinted>2021-10-29T16:13:00Z</cp:lastPrinted>
  <dcterms:created xsi:type="dcterms:W3CDTF">2021-11-04T08:43:00Z</dcterms:created>
  <dcterms:modified xsi:type="dcterms:W3CDTF">2021-11-04T14:59:00Z</dcterms:modified>
</cp:coreProperties>
</file>